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F37" w:rsidRDefault="00E85F37" w:rsidP="00E85F37">
      <w:pPr>
        <w:pStyle w:val="NormalWeb"/>
        <w:spacing w:after="240" w:afterAutospacing="0"/>
        <w:rPr>
          <w:rFonts w:ascii="Arial" w:hAnsi="Arial" w:cs="Arial"/>
          <w:color w:val="444444"/>
          <w:sz w:val="23"/>
          <w:szCs w:val="23"/>
        </w:rPr>
      </w:pPr>
      <w:r>
        <w:rPr>
          <w:rFonts w:ascii="Arial" w:hAnsi="Arial" w:cs="Arial"/>
          <w:color w:val="FF0000"/>
          <w:sz w:val="24"/>
          <w:szCs w:val="24"/>
        </w:rPr>
        <w:t>*</w:t>
      </w:r>
      <w:r>
        <w:rPr>
          <w:rStyle w:val="Strong"/>
          <w:rFonts w:ascii="Arial" w:hAnsi="Arial" w:cs="Arial"/>
          <w:color w:val="FF0000"/>
          <w:sz w:val="24"/>
          <w:szCs w:val="24"/>
        </w:rPr>
        <w:t>*Embargo: 23.30 [UK time] Wednesday 16th January 2019**</w:t>
      </w:r>
    </w:p>
    <w:p w:rsidR="00E85F37" w:rsidRDefault="00E85F37" w:rsidP="00E85F37">
      <w:pPr>
        <w:pStyle w:val="NormalWeb"/>
        <w:spacing w:after="240" w:afterAutospacing="0"/>
        <w:rPr>
          <w:rFonts w:ascii="Arial" w:hAnsi="Arial" w:cs="Arial"/>
          <w:color w:val="444444"/>
          <w:sz w:val="23"/>
          <w:szCs w:val="23"/>
        </w:rPr>
      </w:pPr>
      <w:r>
        <w:rPr>
          <w:rFonts w:ascii="Arial" w:hAnsi="Arial" w:cs="Arial"/>
          <w:color w:val="000000"/>
          <w:sz w:val="20"/>
          <w:szCs w:val="20"/>
        </w:rPr>
        <w:t>Peer-reviewed / Review, modelling, opinion</w:t>
      </w:r>
    </w:p>
    <w:p w:rsidR="00E85F37" w:rsidRDefault="00E85F37" w:rsidP="00E85F37">
      <w:pPr>
        <w:pStyle w:val="NormalWeb"/>
        <w:spacing w:after="240" w:afterAutospacing="0"/>
        <w:rPr>
          <w:rFonts w:ascii="Arial" w:hAnsi="Arial" w:cs="Arial"/>
          <w:color w:val="444444"/>
          <w:sz w:val="23"/>
          <w:szCs w:val="23"/>
        </w:rPr>
      </w:pPr>
      <w:r>
        <w:rPr>
          <w:rStyle w:val="Emphasis"/>
          <w:rFonts w:ascii="Arial" w:hAnsi="Arial" w:cs="Arial"/>
          <w:b/>
          <w:bCs/>
          <w:color w:val="00539E"/>
          <w:sz w:val="24"/>
          <w:szCs w:val="24"/>
        </w:rPr>
        <w:t>The Lancet</w:t>
      </w:r>
      <w:r>
        <w:rPr>
          <w:rStyle w:val="Strong"/>
          <w:rFonts w:ascii="Arial" w:hAnsi="Arial" w:cs="Arial"/>
          <w:color w:val="00539E"/>
          <w:sz w:val="24"/>
          <w:szCs w:val="24"/>
        </w:rPr>
        <w:t>:</w:t>
      </w:r>
      <w:r>
        <w:rPr>
          <w:rStyle w:val="Strong"/>
          <w:rFonts w:ascii="Arial" w:hAnsi="Arial" w:cs="Arial"/>
          <w:color w:val="000000"/>
          <w:sz w:val="24"/>
          <w:szCs w:val="24"/>
        </w:rPr>
        <w:t xml:space="preserve"> Diet and food production must radically change to improve health and avoid potentially catastrophic damage to the planet</w:t>
      </w:r>
    </w:p>
    <w:p w:rsidR="00E85F37" w:rsidRDefault="00E85F37" w:rsidP="00E85F37">
      <w:pPr>
        <w:numPr>
          <w:ilvl w:val="0"/>
          <w:numId w:val="1"/>
        </w:numPr>
        <w:spacing w:before="100" w:beforeAutospacing="1" w:after="100" w:afterAutospacing="1"/>
        <w:rPr>
          <w:rFonts w:ascii="Arial" w:eastAsia="Times New Roman" w:hAnsi="Arial" w:cs="Arial"/>
          <w:color w:val="444444"/>
          <w:sz w:val="23"/>
          <w:szCs w:val="23"/>
        </w:rPr>
      </w:pPr>
      <w:r>
        <w:rPr>
          <w:rStyle w:val="Strong"/>
          <w:rFonts w:ascii="Arial" w:eastAsia="Times New Roman" w:hAnsi="Arial" w:cs="Arial"/>
          <w:i/>
          <w:iCs/>
          <w:color w:val="000000"/>
          <w:sz w:val="20"/>
          <w:szCs w:val="20"/>
        </w:rPr>
        <w:t xml:space="preserve">Feeding a growing population of 10 billion people by 2050 with a healthy and sustainable diet will be impossible without transforming eating habits, improving food production, and reducing food waste. First scientific targets for a healthy diet that places healthy food consumption within the boundaries of our planet will require significant </w:t>
      </w:r>
      <w:proofErr w:type="gramStart"/>
      <w:r>
        <w:rPr>
          <w:rStyle w:val="Strong"/>
          <w:rFonts w:ascii="Arial" w:eastAsia="Times New Roman" w:hAnsi="Arial" w:cs="Arial"/>
          <w:i/>
          <w:iCs/>
          <w:color w:val="000000"/>
          <w:sz w:val="20"/>
          <w:szCs w:val="20"/>
        </w:rPr>
        <w:t>change, but</w:t>
      </w:r>
      <w:proofErr w:type="gramEnd"/>
      <w:r>
        <w:rPr>
          <w:rStyle w:val="Strong"/>
          <w:rFonts w:ascii="Arial" w:eastAsia="Times New Roman" w:hAnsi="Arial" w:cs="Arial"/>
          <w:i/>
          <w:iCs/>
          <w:color w:val="000000"/>
          <w:sz w:val="20"/>
          <w:szCs w:val="20"/>
        </w:rPr>
        <w:t xml:space="preserve"> are within reach.</w:t>
      </w:r>
    </w:p>
    <w:p w:rsidR="00E85F37" w:rsidRDefault="00E85F37" w:rsidP="00E85F37">
      <w:pPr>
        <w:numPr>
          <w:ilvl w:val="0"/>
          <w:numId w:val="1"/>
        </w:numPr>
        <w:spacing w:before="100" w:beforeAutospacing="1" w:after="100" w:afterAutospacing="1"/>
        <w:rPr>
          <w:rFonts w:ascii="Arial" w:eastAsia="Times New Roman" w:hAnsi="Arial" w:cs="Arial"/>
          <w:color w:val="444444"/>
          <w:sz w:val="23"/>
          <w:szCs w:val="23"/>
        </w:rPr>
      </w:pPr>
      <w:r>
        <w:rPr>
          <w:rStyle w:val="Strong"/>
          <w:rFonts w:ascii="Arial" w:eastAsia="Times New Roman" w:hAnsi="Arial" w:cs="Arial"/>
          <w:i/>
          <w:iCs/>
          <w:color w:val="000000"/>
          <w:sz w:val="20"/>
          <w:szCs w:val="20"/>
        </w:rPr>
        <w:t xml:space="preserve">The daily dietary pattern of a planetary health diet consists of approximately 35% of calories as whole grains and tubers, protein sources mainly from plants – but including approximately 14g of red meat per day – and 500g per day of vegetables and fruits. </w:t>
      </w:r>
    </w:p>
    <w:p w:rsidR="00E85F37" w:rsidRDefault="00E85F37" w:rsidP="00E85F37">
      <w:pPr>
        <w:numPr>
          <w:ilvl w:val="0"/>
          <w:numId w:val="1"/>
        </w:numPr>
        <w:spacing w:before="100" w:beforeAutospacing="1" w:after="100" w:afterAutospacing="1"/>
        <w:rPr>
          <w:rFonts w:ascii="Arial" w:eastAsia="Times New Roman" w:hAnsi="Arial" w:cs="Arial"/>
          <w:color w:val="444444"/>
          <w:sz w:val="23"/>
          <w:szCs w:val="23"/>
        </w:rPr>
      </w:pPr>
      <w:r>
        <w:rPr>
          <w:rStyle w:val="Strong"/>
          <w:rFonts w:ascii="Arial" w:eastAsia="Times New Roman" w:hAnsi="Arial" w:cs="Arial"/>
          <w:i/>
          <w:iCs/>
          <w:color w:val="000000"/>
          <w:sz w:val="20"/>
          <w:szCs w:val="20"/>
        </w:rPr>
        <w:t xml:space="preserve">Moving to this new dietary pattern will require global consumption of foods such as red meat and sugar to decrease by about 50%, while consumption of nuts, fruits, vegetables, and legumes must double. </w:t>
      </w:r>
    </w:p>
    <w:p w:rsidR="00E85F37" w:rsidRDefault="00E85F37" w:rsidP="00E85F37">
      <w:pPr>
        <w:numPr>
          <w:ilvl w:val="0"/>
          <w:numId w:val="1"/>
        </w:numPr>
        <w:spacing w:before="100" w:beforeAutospacing="1" w:after="100" w:afterAutospacing="1"/>
        <w:rPr>
          <w:rFonts w:ascii="Arial" w:eastAsia="Times New Roman" w:hAnsi="Arial" w:cs="Arial"/>
          <w:color w:val="444444"/>
          <w:sz w:val="23"/>
          <w:szCs w:val="23"/>
        </w:rPr>
      </w:pPr>
      <w:r>
        <w:rPr>
          <w:rStyle w:val="Strong"/>
          <w:rFonts w:ascii="Arial" w:eastAsia="Times New Roman" w:hAnsi="Arial" w:cs="Arial"/>
          <w:i/>
          <w:iCs/>
          <w:color w:val="000000"/>
          <w:sz w:val="20"/>
          <w:szCs w:val="20"/>
        </w:rPr>
        <w:t>Unhealthy diets are the leading cause of ill-health worldwide and following the diet could avoid approximately 11 million premature deaths per year.</w:t>
      </w:r>
    </w:p>
    <w:p w:rsidR="00E85F37" w:rsidRDefault="00E85F37" w:rsidP="00E85F37">
      <w:pPr>
        <w:numPr>
          <w:ilvl w:val="0"/>
          <w:numId w:val="1"/>
        </w:numPr>
        <w:spacing w:before="100" w:beforeAutospacing="1" w:after="100" w:afterAutospacing="1"/>
        <w:rPr>
          <w:rFonts w:ascii="Arial" w:eastAsia="Times New Roman" w:hAnsi="Arial" w:cs="Arial"/>
          <w:color w:val="444444"/>
          <w:sz w:val="23"/>
          <w:szCs w:val="23"/>
        </w:rPr>
      </w:pPr>
      <w:r>
        <w:rPr>
          <w:rStyle w:val="Strong"/>
          <w:rFonts w:ascii="Arial" w:eastAsia="Times New Roman" w:hAnsi="Arial" w:cs="Arial"/>
          <w:i/>
          <w:iCs/>
          <w:color w:val="000000"/>
          <w:sz w:val="20"/>
          <w:szCs w:val="20"/>
        </w:rPr>
        <w:t xml:space="preserve">A shift towards the planetary health diet would ensure the global food system </w:t>
      </w:r>
      <w:proofErr w:type="gramStart"/>
      <w:r>
        <w:rPr>
          <w:rStyle w:val="Strong"/>
          <w:rFonts w:ascii="Arial" w:eastAsia="Times New Roman" w:hAnsi="Arial" w:cs="Arial"/>
          <w:i/>
          <w:iCs/>
          <w:color w:val="000000"/>
          <w:sz w:val="20"/>
          <w:szCs w:val="20"/>
        </w:rPr>
        <w:t>The</w:t>
      </w:r>
      <w:proofErr w:type="gramEnd"/>
      <w:r>
        <w:rPr>
          <w:rStyle w:val="Strong"/>
          <w:rFonts w:ascii="Arial" w:eastAsia="Times New Roman" w:hAnsi="Arial" w:cs="Arial"/>
          <w:i/>
          <w:iCs/>
          <w:color w:val="000000"/>
          <w:sz w:val="20"/>
          <w:szCs w:val="20"/>
        </w:rPr>
        <w:t xml:space="preserve"> diet can exists within planetary </w:t>
      </w:r>
      <w:proofErr w:type="spellStart"/>
      <w:r>
        <w:rPr>
          <w:rStyle w:val="Strong"/>
          <w:rFonts w:ascii="Arial" w:eastAsia="Times New Roman" w:hAnsi="Arial" w:cs="Arial"/>
          <w:i/>
          <w:iCs/>
          <w:color w:val="000000"/>
          <w:sz w:val="20"/>
          <w:szCs w:val="20"/>
        </w:rPr>
        <w:t>boundariess</w:t>
      </w:r>
      <w:proofErr w:type="spellEnd"/>
      <w:r>
        <w:rPr>
          <w:rStyle w:val="Strong"/>
          <w:rFonts w:ascii="Arial" w:eastAsia="Times New Roman" w:hAnsi="Arial" w:cs="Arial"/>
          <w:i/>
          <w:iCs/>
          <w:color w:val="000000"/>
          <w:sz w:val="20"/>
          <w:szCs w:val="20"/>
        </w:rPr>
        <w:t xml:space="preserve"> for food production such as those for climate change, biodiversity loss, land and freshwater use, as well as nutrient cycles.</w:t>
      </w:r>
    </w:p>
    <w:p w:rsidR="00E85F37" w:rsidRDefault="00E85F37" w:rsidP="00E85F37">
      <w:pPr>
        <w:pStyle w:val="NormalWeb"/>
        <w:spacing w:after="240" w:afterAutospacing="0"/>
        <w:rPr>
          <w:rFonts w:ascii="Arial" w:hAnsi="Arial" w:cs="Arial"/>
          <w:color w:val="444444"/>
          <w:sz w:val="23"/>
          <w:szCs w:val="23"/>
        </w:rPr>
      </w:pPr>
      <w:r>
        <w:rPr>
          <w:rFonts w:ascii="Arial" w:hAnsi="Arial" w:cs="Arial"/>
          <w:color w:val="000000"/>
          <w:sz w:val="20"/>
          <w:szCs w:val="20"/>
        </w:rPr>
        <w:t xml:space="preserve">Transformation of the global food system is urgently needed as more than 3 billion people are malnourished (including people who are undernourished and </w:t>
      </w:r>
      <w:proofErr w:type="spellStart"/>
      <w:r>
        <w:rPr>
          <w:rFonts w:ascii="Arial" w:hAnsi="Arial" w:cs="Arial"/>
          <w:color w:val="000000"/>
          <w:sz w:val="20"/>
          <w:szCs w:val="20"/>
        </w:rPr>
        <w:t>overnourished</w:t>
      </w:r>
      <w:proofErr w:type="spellEnd"/>
      <w:r>
        <w:rPr>
          <w:rFonts w:ascii="Arial" w:hAnsi="Arial" w:cs="Arial"/>
          <w:color w:val="000000"/>
          <w:sz w:val="20"/>
          <w:szCs w:val="20"/>
        </w:rPr>
        <w:t>), and food production is exceeding planetary boundaries – driving climate change, biodiversity loss, pollution due to over-application of nitrogen and phosphorus fertilizers, and unsustainable changes in water and land use.</w:t>
      </w:r>
      <w:r>
        <w:rPr>
          <w:rFonts w:ascii="Arial" w:hAnsi="Arial" w:cs="Arial"/>
          <w:color w:val="000000"/>
          <w:sz w:val="20"/>
          <w:szCs w:val="20"/>
        </w:rPr>
        <w:br/>
      </w:r>
      <w:r>
        <w:rPr>
          <w:rFonts w:ascii="Arial" w:hAnsi="Arial" w:cs="Arial"/>
          <w:color w:val="000000"/>
          <w:sz w:val="20"/>
          <w:szCs w:val="20"/>
        </w:rPr>
        <w:br/>
        <w:t xml:space="preserve">The findings are from the </w:t>
      </w:r>
      <w:r>
        <w:rPr>
          <w:rStyle w:val="Strong"/>
          <w:rFonts w:ascii="Arial" w:hAnsi="Arial" w:cs="Arial"/>
          <w:i/>
          <w:iCs/>
          <w:color w:val="000000"/>
          <w:sz w:val="20"/>
          <w:szCs w:val="20"/>
        </w:rPr>
        <w:t>EAT-Lancet Commission</w:t>
      </w:r>
      <w:r>
        <w:rPr>
          <w:rStyle w:val="Emphasis"/>
          <w:rFonts w:ascii="Arial" w:hAnsi="Arial" w:cs="Arial"/>
          <w:color w:val="000000"/>
          <w:sz w:val="20"/>
          <w:szCs w:val="20"/>
        </w:rPr>
        <w:t xml:space="preserve"> </w:t>
      </w:r>
      <w:r>
        <w:rPr>
          <w:rFonts w:ascii="Arial" w:hAnsi="Arial" w:cs="Arial"/>
          <w:color w:val="000000"/>
          <w:sz w:val="20"/>
          <w:szCs w:val="20"/>
        </w:rPr>
        <w:t xml:space="preserve">which provides the first scientific targets for a healthy diet from a sustainable food production system that operates within planetary boundaries for food. The report promotes diets consisting of a variety of plant-based foods, with low amounts of animal-based foods, refined grains, highly processed foods, and added sugars, and with unsaturated rather than saturated fats. </w:t>
      </w:r>
      <w:r>
        <w:rPr>
          <w:rFonts w:ascii="Arial" w:hAnsi="Arial" w:cs="Arial"/>
          <w:color w:val="000000"/>
          <w:sz w:val="20"/>
          <w:szCs w:val="20"/>
        </w:rPr>
        <w:br/>
      </w:r>
      <w:r>
        <w:rPr>
          <w:rFonts w:ascii="Arial" w:hAnsi="Arial" w:cs="Arial"/>
          <w:color w:val="000000"/>
          <w:sz w:val="20"/>
          <w:szCs w:val="20"/>
        </w:rPr>
        <w:br/>
        <w:t xml:space="preserve">Human diets inextricably link health and environmental </w:t>
      </w:r>
      <w:proofErr w:type="gramStart"/>
      <w:r>
        <w:rPr>
          <w:rFonts w:ascii="Arial" w:hAnsi="Arial" w:cs="Arial"/>
          <w:color w:val="000000"/>
          <w:sz w:val="20"/>
          <w:szCs w:val="20"/>
        </w:rPr>
        <w:t>sustainability, and</w:t>
      </w:r>
      <w:proofErr w:type="gramEnd"/>
      <w:r>
        <w:rPr>
          <w:rFonts w:ascii="Arial" w:hAnsi="Arial" w:cs="Arial"/>
          <w:color w:val="000000"/>
          <w:sz w:val="20"/>
          <w:szCs w:val="20"/>
        </w:rPr>
        <w:t xml:space="preserve"> have the potential to nurture both. However, current diets are pushing the Earth beyond its planetary boundaries, while causing ill health. This puts both people and the planet at risk. Providing healthy diets from sustainable food systems is an immediate challenge as the population continues to grow – projected to reach 10 billion people by 2050 – and get wealthier (with the expectation of higher consumption of animal-based foods). </w:t>
      </w:r>
      <w:r>
        <w:rPr>
          <w:rFonts w:ascii="Arial" w:hAnsi="Arial" w:cs="Arial"/>
          <w:color w:val="000000"/>
          <w:sz w:val="20"/>
          <w:szCs w:val="20"/>
        </w:rPr>
        <w:br/>
      </w:r>
      <w:r>
        <w:rPr>
          <w:rFonts w:ascii="Arial" w:hAnsi="Arial" w:cs="Arial"/>
          <w:color w:val="000000"/>
          <w:sz w:val="20"/>
          <w:szCs w:val="20"/>
        </w:rPr>
        <w:br/>
        <w:t>To meet this challenge, dietary changes must be combined with improved food production and reduced food waste. The authors stress that unprecedented global collaboration and commitment will be needed, alongside immediate changes such as refocussing agriculture to produce varied nutrient-rich crops, and increased governance of land and ocean use.</w:t>
      </w:r>
      <w:r>
        <w:rPr>
          <w:rFonts w:ascii="Arial" w:hAnsi="Arial" w:cs="Arial"/>
          <w:color w:val="000000"/>
          <w:sz w:val="20"/>
          <w:szCs w:val="20"/>
        </w:rPr>
        <w:br/>
      </w:r>
      <w:r>
        <w:rPr>
          <w:rFonts w:ascii="Arial" w:hAnsi="Arial" w:cs="Arial"/>
          <w:color w:val="000000"/>
          <w:sz w:val="20"/>
          <w:szCs w:val="20"/>
        </w:rPr>
        <w:br/>
        <w:t>“The food we eat and how we produce it determines the health of people and the planet, and we are currently getting this seriously wrong,” says one of the commission authors Professor Tim Lang, City, University of London, UK. “We need a significant overhaul, changing the global food system on a scale not seen before in ways appropriate to each country’s circumstances. While this is unchartered policy territory and these problems are not easily fixed, this goal is within reach and there are opportunities to adapt international, local and business policies. The scientific targets we have devised for a healthy, sustainable diet are an important foundation which will underpin and drive this change.” [1]</w:t>
      </w:r>
      <w:r>
        <w:rPr>
          <w:rFonts w:ascii="Arial" w:hAnsi="Arial" w:cs="Arial"/>
          <w:color w:val="000000"/>
          <w:sz w:val="20"/>
          <w:szCs w:val="20"/>
        </w:rPr>
        <w:br/>
      </w:r>
      <w:r>
        <w:rPr>
          <w:rFonts w:ascii="Arial" w:hAnsi="Arial" w:cs="Arial"/>
          <w:color w:val="000000"/>
          <w:sz w:val="20"/>
          <w:szCs w:val="20"/>
        </w:rPr>
        <w:br/>
        <w:t>The Commission is a 3-year project that brings together 37 experts from 16 countries with expertise in health, nutrition, environmental sustainability, food systems, economics and political governance.</w:t>
      </w:r>
    </w:p>
    <w:p w:rsidR="00E85F37" w:rsidRDefault="00E85F37" w:rsidP="00E85F37">
      <w:pPr>
        <w:pStyle w:val="NormalWeb"/>
        <w:spacing w:after="240" w:afterAutospacing="0"/>
        <w:rPr>
          <w:rFonts w:ascii="Arial" w:hAnsi="Arial" w:cs="Arial"/>
          <w:color w:val="444444"/>
          <w:sz w:val="23"/>
          <w:szCs w:val="23"/>
        </w:rPr>
      </w:pPr>
      <w:r>
        <w:rPr>
          <w:rStyle w:val="Strong"/>
          <w:rFonts w:ascii="Arial" w:hAnsi="Arial" w:cs="Arial"/>
          <w:color w:val="000000"/>
          <w:sz w:val="20"/>
          <w:szCs w:val="20"/>
        </w:rPr>
        <w:t>Scientific targets for a healthy diet – the planetary health diet</w:t>
      </w:r>
      <w:r>
        <w:rPr>
          <w:rFonts w:ascii="Arial" w:hAnsi="Arial" w:cs="Arial"/>
          <w:color w:val="000000"/>
          <w:sz w:val="20"/>
          <w:szCs w:val="20"/>
        </w:rPr>
        <w:br/>
        <w:t xml:space="preserve">Despite increased food production contributing to improved life expectancy and reductions in hunger, infant and child mortality rates, and global poverty over the past 50 years, these benefits are now being offset by global shifts towards unhealthy diets high in calories, sugar, refined starches and animal-based foods and low in fruits, vegetables, whole grains, legumes, nuts and seeds, and fish. </w:t>
      </w:r>
      <w:r>
        <w:rPr>
          <w:rFonts w:ascii="Arial" w:hAnsi="Arial" w:cs="Arial"/>
          <w:color w:val="000000"/>
          <w:sz w:val="20"/>
          <w:szCs w:val="20"/>
        </w:rPr>
        <w:br/>
      </w:r>
      <w:r>
        <w:rPr>
          <w:rFonts w:ascii="Arial" w:hAnsi="Arial" w:cs="Arial"/>
          <w:color w:val="000000"/>
          <w:sz w:val="20"/>
          <w:szCs w:val="20"/>
        </w:rPr>
        <w:lastRenderedPageBreak/>
        <w:br/>
        <w:t xml:space="preserve">The authors argue that the lack of scientific targets for a healthy diet have hindered efforts to transform the food system. Based on the best available evidence, the Commission proposes a dietary pattern that meets nutritional requirements, promotes health, and allows the world to stay within planetary boundaries. </w:t>
      </w:r>
      <w:r>
        <w:rPr>
          <w:rFonts w:ascii="Arial" w:hAnsi="Arial" w:cs="Arial"/>
          <w:color w:val="000000"/>
          <w:sz w:val="20"/>
          <w:szCs w:val="20"/>
        </w:rPr>
        <w:br/>
      </w:r>
      <w:r>
        <w:rPr>
          <w:rFonts w:ascii="Arial" w:hAnsi="Arial" w:cs="Arial"/>
          <w:color w:val="000000"/>
          <w:sz w:val="20"/>
          <w:szCs w:val="20"/>
        </w:rPr>
        <w:br/>
        <w:t xml:space="preserve">Compared with current diets, global adoption of the new recommendations by 2050 will require global consumption of foods such as red meat and sugar to decrease by more than 50%, while consumption of nuts, fruits, vegetables, and legumes must increase more than two-fold. Global targets will need to be applied locally – for example, countries in North America eat almost 6.5 times the recommended amount of red meat, while countries in South Asia eat only half the recommended amount. All countries are eating more starchy vegetables (potatoes and cassava) than recommended with intakes ranging from between 1.5 times above the recommendation in South Asia and by 7.5 times in sub-Saharan Africa. </w:t>
      </w:r>
      <w:r>
        <w:rPr>
          <w:rFonts w:ascii="Arial" w:hAnsi="Arial" w:cs="Arial"/>
          <w:color w:val="000000"/>
          <w:sz w:val="20"/>
          <w:szCs w:val="20"/>
        </w:rPr>
        <w:br/>
      </w:r>
      <w:r>
        <w:rPr>
          <w:rFonts w:ascii="Arial" w:hAnsi="Arial" w:cs="Arial"/>
          <w:color w:val="000000"/>
          <w:sz w:val="20"/>
          <w:szCs w:val="20"/>
        </w:rPr>
        <w:br/>
        <w:t xml:space="preserve">“The world’s diets must change dramatically. More than 800 million people have insufficient food, while many more consume an unhealthy diet that contributes to premature death and disease,” says co-lead Commissioner Dr Walter Willett, Harvard University, USA. “To be healthy, diets must have an appropriate calorie intake and consist of a variety of plant-based foods, low amounts of animal-based foods, unsaturated rather than saturated fats, and few refined grains, highly processed foods, and added sugars. The food group intake ranges that we suggest allow flexibility to accommodate various food types, agricultural systems, cultural traditions, and individual dietary preferences – including numerous omnivore, vegetarian, and vegan diets.” [1] </w:t>
      </w:r>
      <w:r>
        <w:rPr>
          <w:rFonts w:ascii="Arial" w:hAnsi="Arial" w:cs="Arial"/>
          <w:color w:val="000000"/>
          <w:sz w:val="20"/>
          <w:szCs w:val="20"/>
        </w:rPr>
        <w:br/>
      </w:r>
      <w:r>
        <w:rPr>
          <w:rFonts w:ascii="Arial" w:hAnsi="Arial" w:cs="Arial"/>
          <w:color w:val="000000"/>
          <w:sz w:val="20"/>
          <w:szCs w:val="20"/>
        </w:rPr>
        <w:br/>
        <w:t>Based on a 2,500 kcal/day diet [2], the dietary targets consist of a daily combined intake of:</w:t>
      </w:r>
    </w:p>
    <w:tbl>
      <w:tblPr>
        <w:tblW w:w="0" w:type="auto"/>
        <w:tblCellSpacing w:w="15" w:type="dxa"/>
        <w:tblLook w:val="04A0" w:firstRow="1" w:lastRow="0" w:firstColumn="1" w:lastColumn="0" w:noHBand="0" w:noVBand="1"/>
      </w:tblPr>
      <w:tblGrid>
        <w:gridCol w:w="3180"/>
        <w:gridCol w:w="3255"/>
        <w:gridCol w:w="2700"/>
      </w:tblGrid>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Style w:val="Strong"/>
                <w:rFonts w:ascii="Arial" w:hAnsi="Arial" w:cs="Arial"/>
                <w:color w:val="000000"/>
                <w:sz w:val="18"/>
                <w:szCs w:val="18"/>
              </w:rPr>
              <w:t>Food group</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Style w:val="Strong"/>
                <w:rFonts w:ascii="Arial" w:hAnsi="Arial" w:cs="Arial"/>
                <w:color w:val="000000"/>
                <w:sz w:val="18"/>
                <w:szCs w:val="18"/>
              </w:rPr>
              <w:t>Macronutrient intake range (grams/day), ranges included</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Style w:val="Strong"/>
                <w:rFonts w:ascii="Arial" w:hAnsi="Arial" w:cs="Arial"/>
                <w:color w:val="000000"/>
                <w:sz w:val="18"/>
                <w:szCs w:val="18"/>
              </w:rPr>
              <w:t>Calorie intake (kcal/day)</w:t>
            </w:r>
          </w:p>
        </w:tc>
      </w:tr>
      <w:tr w:rsidR="00E85F37" w:rsidTr="00E85F37">
        <w:trPr>
          <w:tblCellSpacing w:w="15" w:type="dxa"/>
        </w:trPr>
        <w:tc>
          <w:tcPr>
            <w:tcW w:w="9015" w:type="dxa"/>
            <w:gridSpan w:val="3"/>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Style w:val="Strong"/>
                <w:rFonts w:ascii="Arial" w:hAnsi="Arial" w:cs="Arial"/>
                <w:color w:val="000000"/>
                <w:sz w:val="18"/>
                <w:szCs w:val="18"/>
              </w:rPr>
              <w:t>Major carbohydrate sources – 0-60% of energy</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Whole grains (such as rice, wheat, corn), dry</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232 grams (adjusted to meet energy target)</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811</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Starchy vegetables (potatoes and cassava)</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50 (0-100) grams</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39</w:t>
            </w:r>
          </w:p>
        </w:tc>
      </w:tr>
      <w:tr w:rsidR="00E85F37" w:rsidTr="00E85F37">
        <w:trPr>
          <w:tblCellSpacing w:w="15" w:type="dxa"/>
        </w:trPr>
        <w:tc>
          <w:tcPr>
            <w:tcW w:w="9015" w:type="dxa"/>
            <w:gridSpan w:val="3"/>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Style w:val="Strong"/>
                <w:rFonts w:ascii="Arial" w:hAnsi="Arial" w:cs="Arial"/>
                <w:color w:val="000000"/>
                <w:sz w:val="18"/>
                <w:szCs w:val="18"/>
              </w:rPr>
              <w:t>Protein – around 15% of energy intake</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Beef or lamb</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7 (0-14) grams</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15</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Pork</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7 (0-14) grams</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15</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Poultry</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29 (0-58) grams</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62</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Eggs</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13 (0-25) grams (about 1.5 eggs per week)</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19</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Fish (including shellfish)</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28 (0-100) grams</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40</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Dry beans, lentils or peas</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50 (0-100) grams</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172</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Soy foods, dry</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25 (0-50) grams</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112</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Peanuts</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25 (0-75) grams</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142</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Tree nuts</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25 (0-75) grams</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149</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Dairy (whole milk and dairy products, such as cheese)</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250 (0-500) grams</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153</w:t>
            </w:r>
          </w:p>
        </w:tc>
      </w:tr>
      <w:tr w:rsidR="00E85F37" w:rsidTr="00E85F37">
        <w:trPr>
          <w:tblCellSpacing w:w="15" w:type="dxa"/>
        </w:trPr>
        <w:tc>
          <w:tcPr>
            <w:tcW w:w="9015" w:type="dxa"/>
            <w:gridSpan w:val="3"/>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Style w:val="Strong"/>
                <w:rFonts w:ascii="Arial" w:hAnsi="Arial" w:cs="Arial"/>
                <w:color w:val="000000"/>
                <w:sz w:val="18"/>
                <w:szCs w:val="18"/>
              </w:rPr>
              <w:lastRenderedPageBreak/>
              <w:t>Fruit and vegetables</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Vegetables</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300 (200-600) grams, including 100 grams of dark green vegetables, 100 grams red and orange vegetables, and 100 grams of other vegetables</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23 - Dark green vegetables</w:t>
            </w:r>
          </w:p>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30 - Red and orange vegetables</w:t>
            </w:r>
          </w:p>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25 - Other vegetables</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Fruits</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200 (100-300) grams</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126</w:t>
            </w:r>
          </w:p>
        </w:tc>
      </w:tr>
      <w:tr w:rsidR="00E85F37" w:rsidTr="00E85F37">
        <w:trPr>
          <w:tblCellSpacing w:w="15" w:type="dxa"/>
        </w:trPr>
        <w:tc>
          <w:tcPr>
            <w:tcW w:w="9015" w:type="dxa"/>
            <w:gridSpan w:val="3"/>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Style w:val="Strong"/>
                <w:rFonts w:ascii="Arial" w:hAnsi="Arial" w:cs="Arial"/>
                <w:color w:val="000000"/>
                <w:sz w:val="18"/>
                <w:szCs w:val="18"/>
              </w:rPr>
              <w:t>Added fats</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Palm oil</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6.8 (0-6.8) grams</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60</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Unsaturated oils (olive, soybean, rapeseed, sunflower, and peanut oil)</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40 (20-80) grams</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354</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Dairy fats (such as butter)</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0 grams</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0</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Lard or tallow</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5 (0-5) grams</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36</w:t>
            </w:r>
          </w:p>
        </w:tc>
      </w:tr>
      <w:tr w:rsidR="00E85F37" w:rsidTr="00E85F37">
        <w:trPr>
          <w:tblCellSpacing w:w="15" w:type="dxa"/>
        </w:trPr>
        <w:tc>
          <w:tcPr>
            <w:tcW w:w="9015" w:type="dxa"/>
            <w:gridSpan w:val="3"/>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Style w:val="Strong"/>
                <w:rFonts w:ascii="Arial" w:hAnsi="Arial" w:cs="Arial"/>
                <w:color w:val="000000"/>
                <w:sz w:val="18"/>
                <w:szCs w:val="18"/>
              </w:rPr>
              <w:t>Added sugars</w:t>
            </w:r>
          </w:p>
        </w:tc>
      </w:tr>
      <w:tr w:rsidR="00E85F37" w:rsidTr="00E85F37">
        <w:trPr>
          <w:tblCellSpacing w:w="15" w:type="dxa"/>
        </w:trPr>
        <w:tc>
          <w:tcPr>
            <w:tcW w:w="313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All sweeteners</w:t>
            </w:r>
          </w:p>
        </w:tc>
        <w:tc>
          <w:tcPr>
            <w:tcW w:w="322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31 (0-31) grams</w:t>
            </w:r>
          </w:p>
        </w:tc>
        <w:tc>
          <w:tcPr>
            <w:tcW w:w="2655" w:type="dxa"/>
            <w:tcMar>
              <w:top w:w="15" w:type="dxa"/>
              <w:left w:w="15" w:type="dxa"/>
              <w:bottom w:w="15" w:type="dxa"/>
              <w:right w:w="15" w:type="dxa"/>
            </w:tcMar>
            <w:vAlign w:val="center"/>
            <w:hideMark/>
          </w:tcPr>
          <w:p w:rsidR="00E85F37" w:rsidRDefault="00E85F37">
            <w:pPr>
              <w:pStyle w:val="NormalWeb"/>
              <w:spacing w:after="240" w:afterAutospacing="0"/>
              <w:rPr>
                <w:rFonts w:ascii="Arial" w:hAnsi="Arial" w:cs="Arial"/>
                <w:color w:val="444444"/>
                <w:sz w:val="23"/>
                <w:szCs w:val="23"/>
              </w:rPr>
            </w:pPr>
            <w:r>
              <w:rPr>
                <w:rFonts w:ascii="Arial" w:hAnsi="Arial" w:cs="Arial"/>
                <w:color w:val="000000"/>
                <w:sz w:val="18"/>
                <w:szCs w:val="18"/>
              </w:rPr>
              <w:t>120</w:t>
            </w:r>
          </w:p>
        </w:tc>
      </w:tr>
    </w:tbl>
    <w:p w:rsidR="00E85F37" w:rsidRDefault="00E85F37" w:rsidP="00E85F37">
      <w:pPr>
        <w:pStyle w:val="NormalWeb"/>
        <w:spacing w:after="240" w:afterAutospacing="0"/>
        <w:rPr>
          <w:rFonts w:ascii="Arial" w:hAnsi="Arial" w:cs="Arial"/>
          <w:color w:val="444444"/>
          <w:sz w:val="23"/>
          <w:szCs w:val="23"/>
        </w:rPr>
      </w:pPr>
      <w:r>
        <w:rPr>
          <w:rFonts w:ascii="Arial" w:hAnsi="Arial" w:cs="Arial"/>
          <w:color w:val="000000"/>
          <w:sz w:val="20"/>
          <w:szCs w:val="20"/>
        </w:rPr>
        <w:t>The authors estimate that widespread adoption of such a diet would improve intakes of most nutrients – increasing intake of healthy mono and polyunsaturated fatty acids and reducing consumption of unhealthy saturated fats. It would also increase essential micronutrient intake (such as iron, zinc, folate, and vitamin A, as well as calcium in low-income countries), except for vitamin B12 where supplementation or fortification might be necessary in some circumstances.</w:t>
      </w:r>
      <w:r>
        <w:rPr>
          <w:rFonts w:ascii="Arial" w:hAnsi="Arial" w:cs="Arial"/>
          <w:color w:val="000000"/>
          <w:sz w:val="20"/>
          <w:szCs w:val="20"/>
        </w:rPr>
        <w:br/>
      </w:r>
      <w:r>
        <w:rPr>
          <w:rFonts w:ascii="Arial" w:hAnsi="Arial" w:cs="Arial"/>
          <w:color w:val="000000"/>
          <w:sz w:val="20"/>
          <w:szCs w:val="20"/>
        </w:rPr>
        <w:br/>
        <w:t xml:space="preserve">They also modelled the potential effects of global adoption of the diet on deaths from diet-related diseases. Three models each showed major health benefits, suggesting that adopting the new diet globally could avert between 10.9-11.6 million premature deaths per year – reducing adult deaths by between 19-23.6%. </w:t>
      </w:r>
      <w:r>
        <w:rPr>
          <w:rFonts w:ascii="Arial" w:hAnsi="Arial" w:cs="Arial"/>
          <w:color w:val="000000"/>
          <w:sz w:val="20"/>
          <w:szCs w:val="20"/>
        </w:rPr>
        <w:br/>
      </w:r>
      <w:r>
        <w:rPr>
          <w:rFonts w:ascii="Arial" w:hAnsi="Arial" w:cs="Arial"/>
          <w:color w:val="000000"/>
          <w:sz w:val="20"/>
          <w:szCs w:val="20"/>
        </w:rPr>
        <w:br/>
        <w:t>The authors highlight that evidence about diet, human health, and environmental sustainability is continually evolving and includes uncertainty, so they include ranges in their estimates, but are confident of the overall picture. Professor Lang says: “While major transformations to the food system occurred in China, Brazil, Vietnam, and Finland in the 20th century, and illustrate that diets can change rapidly, humanity has never aimed to change the food system this radically at such speed or scale. People might warn of unintended consequences or argue that the case for action is premature, however, the evidence is sufficient and strong enough to warrant action, and any delay will increase the likelihood of not achieving crucial health and climate goals.” [1]</w:t>
      </w:r>
    </w:p>
    <w:p w:rsidR="00E85F37" w:rsidRDefault="00E85F37" w:rsidP="00E85F37">
      <w:pPr>
        <w:pStyle w:val="NormalWeb"/>
        <w:spacing w:after="240" w:afterAutospacing="0"/>
        <w:rPr>
          <w:rFonts w:ascii="Arial" w:hAnsi="Arial" w:cs="Arial"/>
          <w:color w:val="444444"/>
          <w:sz w:val="23"/>
          <w:szCs w:val="23"/>
        </w:rPr>
      </w:pPr>
      <w:r>
        <w:rPr>
          <w:rStyle w:val="Strong"/>
          <w:rFonts w:ascii="Arial" w:hAnsi="Arial" w:cs="Arial"/>
          <w:color w:val="000000"/>
          <w:sz w:val="20"/>
          <w:szCs w:val="20"/>
        </w:rPr>
        <w:t>Food sustainability</w:t>
      </w:r>
      <w:r>
        <w:rPr>
          <w:rFonts w:ascii="Arial" w:hAnsi="Arial" w:cs="Arial"/>
          <w:color w:val="000000"/>
          <w:sz w:val="20"/>
          <w:szCs w:val="20"/>
        </w:rPr>
        <w:br/>
        <w:t xml:space="preserve">Since the mid-1950s, the pace and scale of environmental change has grown exponentially. Food production is the largest source of environmental degradation. To be sustainable, food production must occur within food-related planetary boundaries for climate change, biodiversity loss, land and water use, as well as for nitrogen and phosphorus cycles. However, production must also be sustainably intensified to meet the global population’s growing food demands. </w:t>
      </w:r>
      <w:r>
        <w:rPr>
          <w:rFonts w:ascii="Arial" w:hAnsi="Arial" w:cs="Arial"/>
          <w:color w:val="000000"/>
          <w:sz w:val="20"/>
          <w:szCs w:val="20"/>
        </w:rPr>
        <w:br/>
      </w:r>
      <w:r>
        <w:rPr>
          <w:rFonts w:ascii="Arial" w:hAnsi="Arial" w:cs="Arial"/>
          <w:color w:val="000000"/>
          <w:sz w:val="20"/>
          <w:szCs w:val="20"/>
        </w:rPr>
        <w:br/>
        <w:t>This will require decarbonising agricultural production by eliminating the use of fossil fuels and land use change losses of CO2 in agriculture. In addition, zero loss of biodiversity, net zero expansion of agricultural land into natural ecosystems, and drastic improvements in fertiliser and water use efficiencies are needed.</w:t>
      </w:r>
      <w:r>
        <w:rPr>
          <w:rFonts w:ascii="Arial" w:hAnsi="Arial" w:cs="Arial"/>
          <w:color w:val="000000"/>
          <w:sz w:val="20"/>
          <w:szCs w:val="20"/>
        </w:rPr>
        <w:br/>
      </w:r>
      <w:r>
        <w:rPr>
          <w:rFonts w:ascii="Arial" w:hAnsi="Arial" w:cs="Arial"/>
          <w:color w:val="000000"/>
          <w:sz w:val="20"/>
          <w:szCs w:val="20"/>
        </w:rPr>
        <w:br/>
        <w:t xml:space="preserve">The authors estimate the minimum, unavoidable emissions of greenhouse gases if we are to provide healthy food for 10 billion people by 2050 [3]. They conclude that non-CO2 greenhouse gas emissions of methane and nitrous oxide [4] will remain between 4.7-5.4 </w:t>
      </w:r>
      <w:proofErr w:type="spellStart"/>
      <w:r>
        <w:rPr>
          <w:rFonts w:ascii="Arial" w:hAnsi="Arial" w:cs="Arial"/>
          <w:color w:val="000000"/>
          <w:sz w:val="20"/>
          <w:szCs w:val="20"/>
        </w:rPr>
        <w:t>gigatonnes</w:t>
      </w:r>
      <w:proofErr w:type="spellEnd"/>
      <w:r>
        <w:rPr>
          <w:rFonts w:ascii="Arial" w:hAnsi="Arial" w:cs="Arial"/>
          <w:color w:val="000000"/>
          <w:sz w:val="20"/>
          <w:szCs w:val="20"/>
        </w:rPr>
        <w:t xml:space="preserve"> in 2050, with current emissions already at an estimated 5.2 </w:t>
      </w:r>
      <w:proofErr w:type="spellStart"/>
      <w:r>
        <w:rPr>
          <w:rFonts w:ascii="Arial" w:hAnsi="Arial" w:cs="Arial"/>
          <w:color w:val="000000"/>
          <w:sz w:val="20"/>
          <w:szCs w:val="20"/>
        </w:rPr>
        <w:t>gigatonnes</w:t>
      </w:r>
      <w:proofErr w:type="spellEnd"/>
      <w:r>
        <w:rPr>
          <w:rFonts w:ascii="Arial" w:hAnsi="Arial" w:cs="Arial"/>
          <w:color w:val="000000"/>
          <w:sz w:val="20"/>
          <w:szCs w:val="20"/>
        </w:rPr>
        <w:t xml:space="preserve"> in 2010. This suggests that the decarbonisation of the world energy system must </w:t>
      </w:r>
      <w:r>
        <w:rPr>
          <w:rFonts w:ascii="Arial" w:hAnsi="Arial" w:cs="Arial"/>
          <w:color w:val="000000"/>
          <w:sz w:val="20"/>
          <w:szCs w:val="20"/>
        </w:rPr>
        <w:lastRenderedPageBreak/>
        <w:t xml:space="preserve">progress faster than anticipated, to accommodate the need to healthily feed humans without further damaging the planet. </w:t>
      </w:r>
      <w:r>
        <w:rPr>
          <w:rFonts w:ascii="Arial" w:hAnsi="Arial" w:cs="Arial"/>
          <w:color w:val="000000"/>
          <w:sz w:val="20"/>
          <w:szCs w:val="20"/>
        </w:rPr>
        <w:br/>
      </w:r>
      <w:r>
        <w:rPr>
          <w:rFonts w:ascii="Arial" w:hAnsi="Arial" w:cs="Arial"/>
          <w:color w:val="000000"/>
          <w:sz w:val="20"/>
          <w:szCs w:val="20"/>
        </w:rPr>
        <w:br/>
        <w:t xml:space="preserve">Phosphorus use must also be reduced (from 17.9 to between 6-16 </w:t>
      </w:r>
      <w:proofErr w:type="spellStart"/>
      <w:r>
        <w:rPr>
          <w:rFonts w:ascii="Arial" w:hAnsi="Arial" w:cs="Arial"/>
          <w:color w:val="000000"/>
          <w:sz w:val="20"/>
          <w:szCs w:val="20"/>
        </w:rPr>
        <w:t>teragrams</w:t>
      </w:r>
      <w:proofErr w:type="spellEnd"/>
      <w:r>
        <w:rPr>
          <w:rFonts w:ascii="Arial" w:hAnsi="Arial" w:cs="Arial"/>
          <w:color w:val="000000"/>
          <w:sz w:val="20"/>
          <w:szCs w:val="20"/>
        </w:rPr>
        <w:t>), as must biodiversity loss (from 100 to between 1-80 extinctions per million species each year).</w:t>
      </w:r>
      <w:r>
        <w:rPr>
          <w:rFonts w:ascii="Arial" w:hAnsi="Arial" w:cs="Arial"/>
          <w:color w:val="000000"/>
          <w:sz w:val="20"/>
          <w:szCs w:val="20"/>
        </w:rPr>
        <w:br/>
      </w:r>
      <w:r>
        <w:rPr>
          <w:rFonts w:ascii="Arial" w:hAnsi="Arial" w:cs="Arial"/>
          <w:color w:val="000000"/>
          <w:sz w:val="20"/>
          <w:szCs w:val="20"/>
        </w:rPr>
        <w:br/>
        <w:t xml:space="preserve">Based on their estimates, current levels of nitrogen, land and water use may be within the projected 2050 boundary (from 131.8 </w:t>
      </w:r>
      <w:proofErr w:type="spellStart"/>
      <w:r>
        <w:rPr>
          <w:rFonts w:ascii="Arial" w:hAnsi="Arial" w:cs="Arial"/>
          <w:color w:val="000000"/>
          <w:sz w:val="20"/>
          <w:szCs w:val="20"/>
        </w:rPr>
        <w:t>teragrams</w:t>
      </w:r>
      <w:proofErr w:type="spellEnd"/>
      <w:r>
        <w:rPr>
          <w:rFonts w:ascii="Arial" w:hAnsi="Arial" w:cs="Arial"/>
          <w:color w:val="000000"/>
          <w:sz w:val="20"/>
          <w:szCs w:val="20"/>
        </w:rPr>
        <w:t xml:space="preserve"> in 2010 to between 65-140 in 2050, from 12.6 M km2 in 2010 vs 11-15 M km2 in 2050, and from 1.8 M km3 in 2010 vs 1-4 M km3, respectively) but will require continued efforts to sustain this level. The boundary estimates are subject to </w:t>
      </w:r>
      <w:proofErr w:type="gramStart"/>
      <w:r>
        <w:rPr>
          <w:rFonts w:ascii="Arial" w:hAnsi="Arial" w:cs="Arial"/>
          <w:color w:val="000000"/>
          <w:sz w:val="20"/>
          <w:szCs w:val="20"/>
        </w:rPr>
        <w:t>uncertainty, and</w:t>
      </w:r>
      <w:proofErr w:type="gramEnd"/>
      <w:r>
        <w:rPr>
          <w:rFonts w:ascii="Arial" w:hAnsi="Arial" w:cs="Arial"/>
          <w:color w:val="000000"/>
          <w:sz w:val="20"/>
          <w:szCs w:val="20"/>
        </w:rPr>
        <w:t xml:space="preserve"> will require continuous update and refinement. </w:t>
      </w:r>
      <w:r>
        <w:rPr>
          <w:rFonts w:ascii="Arial" w:hAnsi="Arial" w:cs="Arial"/>
          <w:color w:val="000000"/>
          <w:sz w:val="20"/>
          <w:szCs w:val="20"/>
        </w:rPr>
        <w:br/>
      </w:r>
      <w:r>
        <w:rPr>
          <w:rFonts w:ascii="Arial" w:hAnsi="Arial" w:cs="Arial"/>
          <w:color w:val="000000"/>
          <w:sz w:val="20"/>
          <w:szCs w:val="20"/>
        </w:rPr>
        <w:br/>
        <w:t xml:space="preserve">Using these boundary targets, the authors modelled various scenarios to develop a sustainable food system and deliver healthy diets by 2050. To stay within planetary boundaries, a combination of major dietary change, improved food production through enhanced agriculture and technology changes [5], and reduced food waste during production and at the point of consumption will be needed, and no single measure is enough to stay within </w:t>
      </w:r>
      <w:proofErr w:type="gramStart"/>
      <w:r>
        <w:rPr>
          <w:rFonts w:ascii="Arial" w:hAnsi="Arial" w:cs="Arial"/>
          <w:color w:val="000000"/>
          <w:sz w:val="20"/>
          <w:szCs w:val="20"/>
        </w:rPr>
        <w:t>all of</w:t>
      </w:r>
      <w:proofErr w:type="gramEnd"/>
      <w:r>
        <w:rPr>
          <w:rFonts w:ascii="Arial" w:hAnsi="Arial" w:cs="Arial"/>
          <w:color w:val="000000"/>
          <w:sz w:val="20"/>
          <w:szCs w:val="20"/>
        </w:rPr>
        <w:t xml:space="preserve"> the limits. </w:t>
      </w:r>
      <w:r>
        <w:rPr>
          <w:rFonts w:ascii="Arial" w:hAnsi="Arial" w:cs="Arial"/>
          <w:color w:val="000000"/>
          <w:sz w:val="20"/>
          <w:szCs w:val="20"/>
        </w:rPr>
        <w:br/>
      </w:r>
      <w:r>
        <w:rPr>
          <w:rFonts w:ascii="Arial" w:hAnsi="Arial" w:cs="Arial"/>
          <w:color w:val="000000"/>
          <w:sz w:val="20"/>
          <w:szCs w:val="20"/>
        </w:rPr>
        <w:br/>
        <w:t xml:space="preserve">"Designing and operationalising sustainable food systems that can deliver healthy diets for a growing and wealthier world population presents a formidable challenge. Nothing less than a new global agricultural revolution. The good news is that it is not only doable, we have increasing evidence that it can be achieved through sustainable intensification that benefits both farmer, consumer and planet,” says co-lead Commissioner Professor Johan </w:t>
      </w:r>
      <w:proofErr w:type="spellStart"/>
      <w:r>
        <w:rPr>
          <w:rFonts w:ascii="Arial" w:hAnsi="Arial" w:cs="Arial"/>
          <w:color w:val="000000"/>
          <w:sz w:val="20"/>
          <w:szCs w:val="20"/>
        </w:rPr>
        <w:t>Rockström</w:t>
      </w:r>
      <w:proofErr w:type="spellEnd"/>
      <w:r>
        <w:rPr>
          <w:rFonts w:ascii="Arial" w:hAnsi="Arial" w:cs="Arial"/>
          <w:color w:val="000000"/>
          <w:sz w:val="20"/>
          <w:szCs w:val="20"/>
        </w:rPr>
        <w:t>, Stockholm Resilience Centre, Sweden and Potsdam Institute for Climate Impact Research, Germany. [1]</w:t>
      </w:r>
      <w:r>
        <w:rPr>
          <w:rFonts w:ascii="Arial" w:hAnsi="Arial" w:cs="Arial"/>
          <w:color w:val="000000"/>
          <w:sz w:val="20"/>
          <w:szCs w:val="20"/>
        </w:rPr>
        <w:br/>
      </w:r>
      <w:r>
        <w:rPr>
          <w:rFonts w:ascii="Arial" w:hAnsi="Arial" w:cs="Arial"/>
          <w:color w:val="000000"/>
          <w:sz w:val="20"/>
          <w:szCs w:val="20"/>
        </w:rPr>
        <w:br/>
        <w:t xml:space="preserve">"Humanity now poses a threat to the stability of the planet. Sustainability of the food system must therefore be defined from a planetary perspective. Five key environmental processes regulate the state of the planet. Our definition of sustainable food production requires that we use no additional land, safeguard existing biodiversity, reduce consumptive water use and manage water responsibly, substantially reduce nitrogen and phosphorus pollution, produce zero carbon dioxide emissions, and cause no further increase in methane and nitrous oxide emissions. There is no silver bullet for combatting harmful food production practices, but by defining and quantifying a safe operating space for food systems, diets can be identified that will nurture human health and support environmental sustainability.” Professor </w:t>
      </w:r>
      <w:proofErr w:type="spellStart"/>
      <w:r>
        <w:rPr>
          <w:rFonts w:ascii="Arial" w:hAnsi="Arial" w:cs="Arial"/>
          <w:color w:val="000000"/>
          <w:sz w:val="20"/>
          <w:szCs w:val="20"/>
        </w:rPr>
        <w:t>Rockström</w:t>
      </w:r>
      <w:proofErr w:type="spellEnd"/>
      <w:r>
        <w:rPr>
          <w:rFonts w:ascii="Arial" w:hAnsi="Arial" w:cs="Arial"/>
          <w:color w:val="000000"/>
          <w:sz w:val="20"/>
          <w:szCs w:val="20"/>
        </w:rPr>
        <w:t xml:space="preserve"> continues. </w:t>
      </w:r>
    </w:p>
    <w:p w:rsidR="00E85F37" w:rsidRDefault="00E85F37" w:rsidP="00E85F37">
      <w:pPr>
        <w:pStyle w:val="NormalWeb"/>
        <w:spacing w:after="240" w:afterAutospacing="0"/>
        <w:rPr>
          <w:rFonts w:ascii="Arial" w:hAnsi="Arial" w:cs="Arial"/>
          <w:color w:val="444444"/>
          <w:sz w:val="23"/>
          <w:szCs w:val="23"/>
        </w:rPr>
      </w:pPr>
      <w:r>
        <w:rPr>
          <w:rStyle w:val="Strong"/>
          <w:rFonts w:ascii="Arial" w:hAnsi="Arial" w:cs="Arial"/>
          <w:color w:val="000000"/>
          <w:sz w:val="20"/>
          <w:szCs w:val="20"/>
        </w:rPr>
        <w:t>Transforming the global food system</w:t>
      </w:r>
      <w:r>
        <w:rPr>
          <w:rFonts w:ascii="Arial" w:hAnsi="Arial" w:cs="Arial"/>
          <w:color w:val="000000"/>
          <w:sz w:val="20"/>
          <w:szCs w:val="20"/>
        </w:rPr>
        <w:br/>
        <w:t>The Commission proposes five strategies to adjust what people eat and how it is produced.</w:t>
      </w:r>
      <w:r>
        <w:rPr>
          <w:rFonts w:ascii="Arial" w:hAnsi="Arial" w:cs="Arial"/>
          <w:color w:val="000000"/>
          <w:sz w:val="20"/>
          <w:szCs w:val="20"/>
        </w:rPr>
        <w:br/>
      </w:r>
      <w:r>
        <w:rPr>
          <w:rFonts w:ascii="Arial" w:hAnsi="Arial" w:cs="Arial"/>
          <w:color w:val="000000"/>
          <w:sz w:val="20"/>
          <w:szCs w:val="20"/>
        </w:rPr>
        <w:br/>
        <w:t xml:space="preserve">Firstly, policies to encourage people to choose healthy diets are needed, including improving availability and accessibility to healthy food through improved logistics and storage, increased food security, and policies that promote buying from sustainable sources. Alongside advertising restrictions and education campaigns, affordability is also crucial, and food prices must reflect production and environmental costs. As this may increase costs to consumers, social protection for vulnerable groups may be required to avoid continued poor nutrition in low-income groups. </w:t>
      </w:r>
      <w:r>
        <w:rPr>
          <w:rFonts w:ascii="Arial" w:hAnsi="Arial" w:cs="Arial"/>
          <w:color w:val="000000"/>
          <w:sz w:val="20"/>
          <w:szCs w:val="20"/>
        </w:rPr>
        <w:br/>
      </w:r>
      <w:r>
        <w:rPr>
          <w:rFonts w:ascii="Arial" w:hAnsi="Arial" w:cs="Arial"/>
          <w:color w:val="000000"/>
          <w:sz w:val="20"/>
          <w:szCs w:val="20"/>
        </w:rPr>
        <w:br/>
        <w:t xml:space="preserve">Strategies to refocus agriculture from producing high volumes of crops to producing varied nutrient-rich crops are needed. Currently, small and medium farms supply more than 50% of the essential nutrients in the global food supply. Global agriculture policies should incentivise producers to grow nutritious, plant-based foods, develop programmes that support diverse production systems, and increase research funding for ways to increase nutrition and sustainability. In some contexts, animal farming is important to nutrition and the ecosystem and the benefits and risks of animal farming should be considered on a case-by-case basis. </w:t>
      </w:r>
      <w:r>
        <w:rPr>
          <w:rFonts w:ascii="Arial" w:hAnsi="Arial" w:cs="Arial"/>
          <w:color w:val="000000"/>
          <w:sz w:val="20"/>
          <w:szCs w:val="20"/>
        </w:rPr>
        <w:br/>
      </w:r>
      <w:r>
        <w:rPr>
          <w:rFonts w:ascii="Arial" w:hAnsi="Arial" w:cs="Arial"/>
          <w:color w:val="000000"/>
          <w:sz w:val="20"/>
          <w:szCs w:val="20"/>
        </w:rPr>
        <w:br/>
        <w:t xml:space="preserve">Sustainably intensifying agriculture will also be </w:t>
      </w:r>
      <w:proofErr w:type="gramStart"/>
      <w:r>
        <w:rPr>
          <w:rFonts w:ascii="Arial" w:hAnsi="Arial" w:cs="Arial"/>
          <w:color w:val="000000"/>
          <w:sz w:val="20"/>
          <w:szCs w:val="20"/>
        </w:rPr>
        <w:t>key, and</w:t>
      </w:r>
      <w:proofErr w:type="gramEnd"/>
      <w:r>
        <w:rPr>
          <w:rFonts w:ascii="Arial" w:hAnsi="Arial" w:cs="Arial"/>
          <w:color w:val="000000"/>
          <w:sz w:val="20"/>
          <w:szCs w:val="20"/>
        </w:rPr>
        <w:t xml:space="preserve"> must take into account local conditions to help apply appropriate agricultural practices and generate sustainable, high quality crops. </w:t>
      </w:r>
      <w:r>
        <w:rPr>
          <w:rFonts w:ascii="Arial" w:hAnsi="Arial" w:cs="Arial"/>
          <w:color w:val="000000"/>
          <w:sz w:val="20"/>
          <w:szCs w:val="20"/>
        </w:rPr>
        <w:br/>
      </w:r>
      <w:r>
        <w:rPr>
          <w:rFonts w:ascii="Arial" w:hAnsi="Arial" w:cs="Arial"/>
          <w:color w:val="000000"/>
          <w:sz w:val="20"/>
          <w:szCs w:val="20"/>
        </w:rPr>
        <w:br/>
        <w:t>Equally, effective governance of land and ocean use will be important to preserve natural ecosystems and ensure continued food supplies. This could be achieved through protecting intact natural areas on land (potentially through incentives), prohibiting land clearing, restoring degraded land, removing harmful fishing subsidies, and closing at least 10% of marine areas to fishing (including the high seas to create fish banks).</w:t>
      </w:r>
      <w:r>
        <w:rPr>
          <w:rFonts w:ascii="Arial" w:hAnsi="Arial" w:cs="Arial"/>
          <w:color w:val="000000"/>
          <w:sz w:val="20"/>
          <w:szCs w:val="20"/>
        </w:rPr>
        <w:br/>
      </w:r>
      <w:r>
        <w:rPr>
          <w:rFonts w:ascii="Arial" w:hAnsi="Arial" w:cs="Arial"/>
          <w:color w:val="000000"/>
          <w:sz w:val="20"/>
          <w:szCs w:val="20"/>
        </w:rPr>
        <w:br/>
        <w:t xml:space="preserve">Lastly, food waste must be at least halved. </w:t>
      </w:r>
      <w:proofErr w:type="gramStart"/>
      <w:r>
        <w:rPr>
          <w:rFonts w:ascii="Arial" w:hAnsi="Arial" w:cs="Arial"/>
          <w:color w:val="000000"/>
          <w:sz w:val="20"/>
          <w:szCs w:val="20"/>
        </w:rPr>
        <w:t>The majority of</w:t>
      </w:r>
      <w:proofErr w:type="gramEnd"/>
      <w:r>
        <w:rPr>
          <w:rFonts w:ascii="Arial" w:hAnsi="Arial" w:cs="Arial"/>
          <w:color w:val="000000"/>
          <w:sz w:val="20"/>
          <w:szCs w:val="20"/>
        </w:rPr>
        <w:t xml:space="preserve"> food waste occurs in low- and middle-income countries during food production due to poor harvest planning, lack of access to markets preventing produce from being sold, and lack of infrastructure to store and process foods. Improved investment in technology and education for farmers is needed. Food waste is also an issue in high-income countries, where it is </w:t>
      </w:r>
      <w:r>
        <w:rPr>
          <w:rFonts w:ascii="Arial" w:hAnsi="Arial" w:cs="Arial"/>
          <w:color w:val="000000"/>
          <w:sz w:val="20"/>
          <w:szCs w:val="20"/>
        </w:rPr>
        <w:lastRenderedPageBreak/>
        <w:t xml:space="preserve">primarily caused by consumers and can be resolved through campaigns to improve shopping habits, help understand ‘best before’ and ‘use by’ dates, and improve food storage, preparation, portion sizes and use of leftovers. </w:t>
      </w:r>
      <w:r>
        <w:rPr>
          <w:rFonts w:ascii="Arial" w:hAnsi="Arial" w:cs="Arial"/>
          <w:color w:val="000000"/>
          <w:sz w:val="20"/>
          <w:szCs w:val="20"/>
        </w:rPr>
        <w:br/>
      </w:r>
      <w:r>
        <w:rPr>
          <w:rFonts w:ascii="Arial" w:hAnsi="Arial" w:cs="Arial"/>
          <w:color w:val="000000"/>
          <w:sz w:val="20"/>
          <w:szCs w:val="20"/>
        </w:rPr>
        <w:br/>
        <w:t>Dr Richard Horton, Editor-in-Chief at The Lancet, says: “Poor nutrition is a key driver and risk factor for disease. However, there has been a global failure to address this. It is everyone’s and no-one’s problem.”</w:t>
      </w:r>
      <w:r>
        <w:rPr>
          <w:rFonts w:ascii="Arial" w:hAnsi="Arial" w:cs="Arial"/>
          <w:color w:val="000000"/>
          <w:sz w:val="20"/>
          <w:szCs w:val="20"/>
        </w:rPr>
        <w:br/>
      </w:r>
      <w:r>
        <w:rPr>
          <w:rFonts w:ascii="Arial" w:hAnsi="Arial" w:cs="Arial"/>
          <w:color w:val="000000"/>
          <w:sz w:val="20"/>
          <w:szCs w:val="20"/>
        </w:rPr>
        <w:br/>
        <w:t>He continues: “The transformation that this Commission calls for is not superficial or simple, and requires a focus on complex systems, incentives, and regulations, with communities and governments at multiple levels having a part to play in redefining how we eat. Our connection with nature holds the answer, and if we can eat in a way that works for our planet as well as our bodies, the natural balance of the planet’s resources will be restored. The very nature that is disappearing holds the key to human and planetary survival.”</w:t>
      </w:r>
      <w:r>
        <w:rPr>
          <w:rFonts w:ascii="Arial" w:hAnsi="Arial" w:cs="Arial"/>
          <w:color w:val="000000"/>
          <w:sz w:val="20"/>
          <w:szCs w:val="20"/>
        </w:rPr>
        <w:br/>
      </w:r>
      <w:r>
        <w:rPr>
          <w:rFonts w:ascii="Arial" w:hAnsi="Arial" w:cs="Arial"/>
          <w:color w:val="000000"/>
          <w:sz w:val="20"/>
          <w:szCs w:val="20"/>
        </w:rPr>
        <w:br/>
        <w:t xml:space="preserve">The EAT-Lancet Commission is one of several reports on nutrition being published by The Lancet in 2019. The next Commission – The Global </w:t>
      </w:r>
      <w:proofErr w:type="spellStart"/>
      <w:r>
        <w:rPr>
          <w:rFonts w:ascii="Arial" w:hAnsi="Arial" w:cs="Arial"/>
          <w:color w:val="000000"/>
          <w:sz w:val="20"/>
          <w:szCs w:val="20"/>
        </w:rPr>
        <w:t>Syndemic</w:t>
      </w:r>
      <w:proofErr w:type="spellEnd"/>
      <w:r>
        <w:rPr>
          <w:rFonts w:ascii="Arial" w:hAnsi="Arial" w:cs="Arial"/>
          <w:color w:val="000000"/>
          <w:sz w:val="20"/>
          <w:szCs w:val="20"/>
        </w:rPr>
        <w:t xml:space="preserve"> of Obesity, Undernutrition, and Climate Change – will publish later this month.</w:t>
      </w:r>
    </w:p>
    <w:p w:rsidR="00E85F37" w:rsidRDefault="00E85F37" w:rsidP="00E85F37">
      <w:pPr>
        <w:pStyle w:val="NormalWeb"/>
        <w:spacing w:after="240" w:afterAutospacing="0"/>
        <w:rPr>
          <w:rFonts w:ascii="Arial" w:hAnsi="Arial" w:cs="Arial"/>
          <w:color w:val="444444"/>
          <w:sz w:val="23"/>
          <w:szCs w:val="23"/>
        </w:rPr>
      </w:pPr>
      <w:r>
        <w:rPr>
          <w:rFonts w:ascii="Arial" w:hAnsi="Arial" w:cs="Arial"/>
          <w:color w:val="000000"/>
          <w:sz w:val="18"/>
          <w:szCs w:val="18"/>
        </w:rPr>
        <w:t>NOTES TO EDITORS</w:t>
      </w:r>
    </w:p>
    <w:p w:rsidR="00E85F37" w:rsidRDefault="00E85F37" w:rsidP="00E85F37">
      <w:pPr>
        <w:pStyle w:val="NormalWeb"/>
        <w:spacing w:after="240" w:afterAutospacing="0"/>
        <w:rPr>
          <w:rFonts w:ascii="Arial" w:hAnsi="Arial" w:cs="Arial"/>
          <w:color w:val="444444"/>
          <w:sz w:val="23"/>
          <w:szCs w:val="23"/>
        </w:rPr>
      </w:pPr>
      <w:r>
        <w:rPr>
          <w:rFonts w:ascii="Arial" w:hAnsi="Arial" w:cs="Arial"/>
          <w:color w:val="000000"/>
          <w:sz w:val="18"/>
          <w:szCs w:val="18"/>
        </w:rPr>
        <w:t xml:space="preserve">This study was funded by the </w:t>
      </w:r>
      <w:proofErr w:type="spellStart"/>
      <w:r>
        <w:rPr>
          <w:rFonts w:ascii="Arial" w:hAnsi="Arial" w:cs="Arial"/>
          <w:color w:val="000000"/>
          <w:sz w:val="18"/>
          <w:szCs w:val="18"/>
        </w:rPr>
        <w:t>Wellcome</w:t>
      </w:r>
      <w:proofErr w:type="spellEnd"/>
      <w:r>
        <w:rPr>
          <w:rFonts w:ascii="Arial" w:hAnsi="Arial" w:cs="Arial"/>
          <w:color w:val="000000"/>
          <w:sz w:val="18"/>
          <w:szCs w:val="18"/>
        </w:rPr>
        <w:t xml:space="preserve"> Trust and EAT (specifically funding from the </w:t>
      </w:r>
      <w:proofErr w:type="spellStart"/>
      <w:r>
        <w:rPr>
          <w:rFonts w:ascii="Arial" w:hAnsi="Arial" w:cs="Arial"/>
          <w:color w:val="000000"/>
          <w:sz w:val="18"/>
          <w:szCs w:val="18"/>
        </w:rPr>
        <w:t>Wellcome</w:t>
      </w:r>
      <w:proofErr w:type="spellEnd"/>
      <w:r>
        <w:rPr>
          <w:rFonts w:ascii="Arial" w:hAnsi="Arial" w:cs="Arial"/>
          <w:color w:val="000000"/>
          <w:sz w:val="18"/>
          <w:szCs w:val="18"/>
        </w:rPr>
        <w:t xml:space="preserve"> Trust and </w:t>
      </w:r>
      <w:proofErr w:type="spellStart"/>
      <w:r>
        <w:rPr>
          <w:rFonts w:ascii="Arial" w:hAnsi="Arial" w:cs="Arial"/>
          <w:color w:val="000000"/>
          <w:sz w:val="18"/>
          <w:szCs w:val="18"/>
        </w:rPr>
        <w:t>Stordalen</w:t>
      </w:r>
      <w:proofErr w:type="spellEnd"/>
      <w:r>
        <w:rPr>
          <w:rFonts w:ascii="Arial" w:hAnsi="Arial" w:cs="Arial"/>
          <w:color w:val="000000"/>
          <w:sz w:val="18"/>
          <w:szCs w:val="18"/>
        </w:rPr>
        <w:t xml:space="preserve"> Foundation). The Stockholm Resilience Centre was the scientific coordinator of the report. </w:t>
      </w:r>
      <w:r>
        <w:rPr>
          <w:rFonts w:ascii="Arial" w:hAnsi="Arial" w:cs="Arial"/>
          <w:color w:val="000000"/>
          <w:sz w:val="18"/>
          <w:szCs w:val="18"/>
        </w:rPr>
        <w:br/>
      </w:r>
      <w:r>
        <w:rPr>
          <w:rFonts w:ascii="Arial" w:hAnsi="Arial" w:cs="Arial"/>
          <w:color w:val="000000"/>
          <w:sz w:val="18"/>
          <w:szCs w:val="18"/>
        </w:rPr>
        <w:br/>
        <w:t xml:space="preserve">The labels have been added to this press release as part of a project run by the Academy of Medical Sciences seeking to improve the communication of evidence. For more information, please see: </w:t>
      </w:r>
      <w:hyperlink r:id="rId5" w:history="1">
        <w:r>
          <w:rPr>
            <w:rStyle w:val="Hyperlink"/>
            <w:rFonts w:ascii="Arial" w:hAnsi="Arial" w:cs="Arial"/>
            <w:sz w:val="18"/>
            <w:szCs w:val="18"/>
          </w:rPr>
          <w:t>http://www.sciencemediacentre.org/wp-content/uploads/2018/01/AMS-press-release-labelling-system-GUIDANCE.pdf</w:t>
        </w:r>
      </w:hyperlink>
      <w:r>
        <w:rPr>
          <w:rFonts w:ascii="Arial" w:hAnsi="Arial" w:cs="Arial"/>
          <w:color w:val="000000"/>
          <w:sz w:val="18"/>
          <w:szCs w:val="18"/>
        </w:rPr>
        <w:t xml:space="preserve"> if you have any questions or feedback, please contact The Lancet press office </w:t>
      </w:r>
      <w:hyperlink r:id="rId6" w:history="1">
        <w:r>
          <w:rPr>
            <w:rStyle w:val="Hyperlink"/>
            <w:rFonts w:ascii="Arial" w:hAnsi="Arial" w:cs="Arial"/>
            <w:sz w:val="18"/>
            <w:szCs w:val="18"/>
          </w:rPr>
          <w:t>pressoffice@lancet.com</w:t>
        </w:r>
      </w:hyperlink>
      <w:r>
        <w:rPr>
          <w:rFonts w:ascii="Arial" w:hAnsi="Arial" w:cs="Arial"/>
          <w:color w:val="000000"/>
          <w:sz w:val="18"/>
          <w:szCs w:val="18"/>
        </w:rPr>
        <w:t xml:space="preserve"> </w:t>
      </w:r>
      <w:r>
        <w:rPr>
          <w:rFonts w:ascii="Arial" w:hAnsi="Arial" w:cs="Arial"/>
          <w:color w:val="000000"/>
          <w:sz w:val="18"/>
          <w:szCs w:val="18"/>
        </w:rPr>
        <w:br/>
      </w:r>
      <w:r>
        <w:rPr>
          <w:rFonts w:ascii="Arial" w:hAnsi="Arial" w:cs="Arial"/>
          <w:color w:val="000000"/>
          <w:sz w:val="18"/>
          <w:szCs w:val="18"/>
        </w:rPr>
        <w:br/>
        <w:t>[1] Quote direct from author and cannot be found in the text of the Article.</w:t>
      </w:r>
      <w:r>
        <w:rPr>
          <w:rFonts w:ascii="Arial" w:hAnsi="Arial" w:cs="Arial"/>
          <w:color w:val="000000"/>
          <w:sz w:val="18"/>
          <w:szCs w:val="18"/>
        </w:rPr>
        <w:br/>
        <w:t>[2] This takes into account the average global energy intake being around 2,370 kcal/day (with some countries being even higher than this) based on country-specific body weights. The diet corresponds to the average energy needs of a 70-kg man aged 30 years and a 60-kg woman aged 30 years whose level of physical activity is moderate to high. It is designed to meet nutritional requirements of healthy individuals over 2 years old (with energy intake depending on age, body size, and physical activity), but the authors note that there are special considerations for young children, adolescents and pregnant and breastfeeding women.</w:t>
      </w:r>
      <w:r>
        <w:rPr>
          <w:rFonts w:ascii="Arial" w:hAnsi="Arial" w:cs="Arial"/>
          <w:color w:val="000000"/>
          <w:sz w:val="18"/>
          <w:szCs w:val="18"/>
        </w:rPr>
        <w:br/>
        <w:t>[3] This is based on the expectation that commitments to decarbonise the energy system by 2050 (no fossil-fuels for tractors, electricity, heat) will be met globally, there will be net-zero CO2 emissions from land-use change (through sustainable land management), and there will be improved nitrogen use efficiency and reduced methane emissions from ruminant livestock.</w:t>
      </w:r>
      <w:r>
        <w:rPr>
          <w:rFonts w:ascii="Arial" w:hAnsi="Arial" w:cs="Arial"/>
          <w:color w:val="000000"/>
          <w:sz w:val="18"/>
          <w:szCs w:val="18"/>
        </w:rPr>
        <w:br/>
        <w:t>[4] The study focusses on methane and nitrous oxide and does not include carbon dioxide. This is because food production is a prime source of methane, and nitrous oxide, which have 56 times and 280 times the global warming potential (over 20 years) of carbon dioxide, respectively, and because it is assumed there are no net inputs of carbon dioxide from fossil fuels to agriculture by 2050.</w:t>
      </w:r>
      <w:r>
        <w:rPr>
          <w:rFonts w:ascii="Arial" w:hAnsi="Arial" w:cs="Arial"/>
          <w:color w:val="000000"/>
          <w:sz w:val="18"/>
          <w:szCs w:val="18"/>
        </w:rPr>
        <w:br/>
        <w:t>[5] These estimates only include technologies that are currently available and proven at scale.</w:t>
      </w:r>
      <w:r>
        <w:rPr>
          <w:rFonts w:ascii="Arial" w:hAnsi="Arial" w:cs="Arial"/>
          <w:color w:val="444444"/>
          <w:sz w:val="23"/>
          <w:szCs w:val="23"/>
        </w:rPr>
        <w:br/>
      </w:r>
      <w:r>
        <w:rPr>
          <w:rFonts w:ascii="Arial" w:hAnsi="Arial" w:cs="Arial"/>
          <w:color w:val="444444"/>
          <w:sz w:val="23"/>
          <w:szCs w:val="23"/>
        </w:rPr>
        <w:br/>
      </w:r>
      <w:r>
        <w:rPr>
          <w:rStyle w:val="Strong"/>
          <w:rFonts w:ascii="Arial" w:hAnsi="Arial" w:cs="Arial"/>
          <w:color w:val="000000"/>
          <w:sz w:val="20"/>
          <w:szCs w:val="20"/>
        </w:rPr>
        <w:t xml:space="preserve">For interviews with the Article authors, please see the following list of international media contacts: </w:t>
      </w:r>
      <w:hyperlink r:id="rId7" w:history="1">
        <w:r>
          <w:rPr>
            <w:rStyle w:val="Hyperlink"/>
            <w:rFonts w:ascii="Arial" w:hAnsi="Arial" w:cs="Arial"/>
            <w:sz w:val="20"/>
            <w:szCs w:val="20"/>
          </w:rPr>
          <w:t>http://www.thelancet-press.com/embargo/EATContacts.pdf</w:t>
        </w:r>
      </w:hyperlink>
      <w:r>
        <w:rPr>
          <w:rStyle w:val="Strong"/>
          <w:rFonts w:ascii="Arial" w:hAnsi="Arial" w:cs="Arial"/>
          <w:color w:val="000000"/>
          <w:sz w:val="20"/>
          <w:szCs w:val="20"/>
        </w:rPr>
        <w:t> </w:t>
      </w:r>
      <w:r>
        <w:rPr>
          <w:rFonts w:ascii="Arial" w:hAnsi="Arial" w:cs="Arial"/>
          <w:b/>
          <w:bCs/>
          <w:color w:val="000000"/>
          <w:sz w:val="20"/>
          <w:szCs w:val="20"/>
        </w:rPr>
        <w:br/>
      </w:r>
      <w:r>
        <w:rPr>
          <w:rFonts w:ascii="Arial" w:hAnsi="Arial" w:cs="Arial"/>
          <w:b/>
          <w:bCs/>
          <w:color w:val="000000"/>
          <w:sz w:val="20"/>
          <w:szCs w:val="20"/>
        </w:rPr>
        <w:br/>
      </w:r>
      <w:r>
        <w:rPr>
          <w:rStyle w:val="Strong"/>
          <w:rFonts w:ascii="Arial" w:hAnsi="Arial" w:cs="Arial"/>
          <w:color w:val="000000"/>
          <w:sz w:val="20"/>
          <w:szCs w:val="20"/>
        </w:rPr>
        <w:t xml:space="preserve">For interviews with Dr Richard Horton, Editor-in-Chief at The Lancet, UK, please contact Emily Head </w:t>
      </w:r>
      <w:hyperlink r:id="rId8" w:history="1">
        <w:r>
          <w:rPr>
            <w:rStyle w:val="Hyperlink"/>
            <w:rFonts w:ascii="Arial" w:hAnsi="Arial" w:cs="Arial"/>
            <w:sz w:val="20"/>
            <w:szCs w:val="20"/>
          </w:rPr>
          <w:t>emily.head@lancet.com</w:t>
        </w:r>
      </w:hyperlink>
      <w:r>
        <w:rPr>
          <w:rStyle w:val="Strong"/>
          <w:rFonts w:ascii="Arial" w:hAnsi="Arial" w:cs="Arial"/>
          <w:color w:val="000000"/>
          <w:sz w:val="20"/>
          <w:szCs w:val="20"/>
        </w:rPr>
        <w:t xml:space="preserve"> or Seil Collins </w:t>
      </w:r>
      <w:hyperlink r:id="rId9" w:history="1">
        <w:r>
          <w:rPr>
            <w:rStyle w:val="Hyperlink"/>
            <w:rFonts w:ascii="Arial" w:hAnsi="Arial" w:cs="Arial"/>
            <w:sz w:val="20"/>
            <w:szCs w:val="20"/>
          </w:rPr>
          <w:t>seil.collins@lancet.com</w:t>
        </w:r>
      </w:hyperlink>
      <w:r>
        <w:rPr>
          <w:rStyle w:val="Strong"/>
          <w:rFonts w:ascii="Arial" w:hAnsi="Arial" w:cs="Arial"/>
          <w:color w:val="000000"/>
          <w:sz w:val="20"/>
          <w:szCs w:val="20"/>
        </w:rPr>
        <w:t xml:space="preserve"> </w:t>
      </w:r>
      <w:r>
        <w:rPr>
          <w:rFonts w:ascii="Arial" w:hAnsi="Arial" w:cs="Arial"/>
          <w:b/>
          <w:bCs/>
          <w:color w:val="000000"/>
          <w:sz w:val="20"/>
          <w:szCs w:val="20"/>
        </w:rPr>
        <w:br/>
      </w:r>
      <w:r>
        <w:rPr>
          <w:rFonts w:ascii="Arial" w:hAnsi="Arial" w:cs="Arial"/>
          <w:b/>
          <w:bCs/>
          <w:color w:val="000000"/>
          <w:sz w:val="20"/>
          <w:szCs w:val="20"/>
        </w:rPr>
        <w:br/>
      </w:r>
      <w:r>
        <w:rPr>
          <w:rStyle w:val="Strong"/>
          <w:rFonts w:ascii="Arial" w:hAnsi="Arial" w:cs="Arial"/>
          <w:color w:val="000000"/>
          <w:sz w:val="20"/>
          <w:szCs w:val="20"/>
        </w:rPr>
        <w:t xml:space="preserve">For embargoed access to the Commission and Comment, please see: </w:t>
      </w:r>
      <w:hyperlink r:id="rId10" w:history="1">
        <w:r>
          <w:rPr>
            <w:rStyle w:val="Hyperlink"/>
            <w:rFonts w:ascii="Arial" w:hAnsi="Arial" w:cs="Arial"/>
            <w:sz w:val="20"/>
            <w:szCs w:val="20"/>
          </w:rPr>
          <w:t>http://www.thelancet-press.com/embargo/EATComm.pdf</w:t>
        </w:r>
      </w:hyperlink>
      <w:r>
        <w:rPr>
          <w:rStyle w:val="Strong"/>
          <w:rFonts w:ascii="Arial" w:hAnsi="Arial" w:cs="Arial"/>
          <w:color w:val="000000"/>
          <w:sz w:val="20"/>
          <w:szCs w:val="20"/>
        </w:rPr>
        <w:t> </w:t>
      </w:r>
      <w:r>
        <w:rPr>
          <w:rFonts w:ascii="Arial" w:hAnsi="Arial" w:cs="Arial"/>
          <w:b/>
          <w:bCs/>
          <w:color w:val="000000"/>
          <w:sz w:val="20"/>
          <w:szCs w:val="20"/>
        </w:rPr>
        <w:br/>
      </w:r>
      <w:r>
        <w:rPr>
          <w:rFonts w:ascii="Arial" w:hAnsi="Arial" w:cs="Arial"/>
          <w:b/>
          <w:bCs/>
          <w:color w:val="000000"/>
          <w:sz w:val="20"/>
          <w:szCs w:val="20"/>
        </w:rPr>
        <w:br/>
      </w:r>
      <w:r>
        <w:rPr>
          <w:rStyle w:val="Strong"/>
          <w:rFonts w:ascii="Arial" w:hAnsi="Arial" w:cs="Arial"/>
          <w:color w:val="000000"/>
          <w:sz w:val="20"/>
          <w:szCs w:val="20"/>
        </w:rPr>
        <w:t xml:space="preserve">For embargoed access to the Appendix, please see: </w:t>
      </w:r>
      <w:hyperlink r:id="rId11" w:history="1">
        <w:r>
          <w:rPr>
            <w:rStyle w:val="Hyperlink"/>
            <w:rFonts w:ascii="Arial" w:hAnsi="Arial" w:cs="Arial"/>
            <w:sz w:val="20"/>
            <w:szCs w:val="20"/>
          </w:rPr>
          <w:t>http://www.thelancet-press.com/embargo/EATCommAPPX.pdf</w:t>
        </w:r>
      </w:hyperlink>
      <w:r>
        <w:rPr>
          <w:rStyle w:val="Strong"/>
          <w:rFonts w:ascii="Arial" w:hAnsi="Arial" w:cs="Arial"/>
          <w:color w:val="000000"/>
          <w:sz w:val="20"/>
          <w:szCs w:val="20"/>
        </w:rPr>
        <w:t> </w:t>
      </w:r>
      <w:r>
        <w:rPr>
          <w:rFonts w:ascii="Arial" w:hAnsi="Arial" w:cs="Arial"/>
          <w:b/>
          <w:bCs/>
          <w:color w:val="000000"/>
          <w:sz w:val="20"/>
          <w:szCs w:val="20"/>
        </w:rPr>
        <w:br/>
      </w:r>
      <w:r>
        <w:rPr>
          <w:rFonts w:ascii="Arial" w:hAnsi="Arial" w:cs="Arial"/>
          <w:b/>
          <w:bCs/>
          <w:color w:val="000000"/>
          <w:sz w:val="20"/>
          <w:szCs w:val="20"/>
        </w:rPr>
        <w:br/>
      </w:r>
      <w:r>
        <w:rPr>
          <w:rStyle w:val="Strong"/>
          <w:rFonts w:ascii="Arial" w:hAnsi="Arial" w:cs="Arial"/>
          <w:color w:val="000000"/>
          <w:sz w:val="20"/>
          <w:szCs w:val="20"/>
        </w:rPr>
        <w:t xml:space="preserve">For embargoed access to The Lancet’s Editorial, please see: </w:t>
      </w:r>
      <w:hyperlink r:id="rId12" w:history="1">
        <w:r>
          <w:rPr>
            <w:rStyle w:val="Hyperlink"/>
            <w:rFonts w:ascii="Arial" w:hAnsi="Arial" w:cs="Arial"/>
            <w:sz w:val="20"/>
            <w:szCs w:val="20"/>
          </w:rPr>
          <w:t>http://www.thelancet-press.com/embargo/EATCommEdi.pdf</w:t>
        </w:r>
      </w:hyperlink>
      <w:r>
        <w:rPr>
          <w:rStyle w:val="Strong"/>
          <w:rFonts w:ascii="Arial" w:hAnsi="Arial" w:cs="Arial"/>
          <w:color w:val="000000"/>
          <w:sz w:val="20"/>
          <w:szCs w:val="20"/>
        </w:rPr>
        <w:t> </w:t>
      </w:r>
      <w:r>
        <w:rPr>
          <w:rFonts w:ascii="Arial" w:hAnsi="Arial" w:cs="Arial"/>
          <w:b/>
          <w:bCs/>
          <w:color w:val="000000"/>
          <w:sz w:val="20"/>
          <w:szCs w:val="20"/>
        </w:rPr>
        <w:br/>
      </w:r>
      <w:r>
        <w:rPr>
          <w:rFonts w:ascii="Arial" w:hAnsi="Arial" w:cs="Arial"/>
          <w:b/>
          <w:bCs/>
          <w:color w:val="000000"/>
          <w:sz w:val="20"/>
          <w:szCs w:val="20"/>
        </w:rPr>
        <w:br/>
      </w:r>
      <w:r>
        <w:rPr>
          <w:rStyle w:val="Strong"/>
          <w:rFonts w:ascii="Arial" w:hAnsi="Arial" w:cs="Arial"/>
          <w:color w:val="000000"/>
          <w:sz w:val="20"/>
          <w:szCs w:val="20"/>
        </w:rPr>
        <w:t xml:space="preserve">For embargoed access to the Graphic illustrating the dietary guidance, please see: </w:t>
      </w:r>
      <w:hyperlink r:id="rId13" w:history="1">
        <w:r>
          <w:rPr>
            <w:rStyle w:val="Hyperlink"/>
            <w:rFonts w:ascii="Arial" w:hAnsi="Arial" w:cs="Arial"/>
            <w:sz w:val="20"/>
            <w:szCs w:val="20"/>
          </w:rPr>
          <w:t>http://www.thelancet-press.com/embargo/EATCommGraphic.pdf</w:t>
        </w:r>
      </w:hyperlink>
      <w:r>
        <w:rPr>
          <w:rStyle w:val="Strong"/>
          <w:rFonts w:ascii="Arial" w:hAnsi="Arial" w:cs="Arial"/>
          <w:color w:val="000000"/>
          <w:sz w:val="20"/>
          <w:szCs w:val="20"/>
        </w:rPr>
        <w:t> </w:t>
      </w:r>
      <w:r>
        <w:rPr>
          <w:rFonts w:ascii="Arial" w:hAnsi="Arial" w:cs="Arial"/>
          <w:b/>
          <w:bCs/>
          <w:color w:val="000000"/>
          <w:sz w:val="20"/>
          <w:szCs w:val="20"/>
        </w:rPr>
        <w:br/>
      </w:r>
      <w:r>
        <w:rPr>
          <w:rFonts w:ascii="Arial" w:hAnsi="Arial" w:cs="Arial"/>
          <w:b/>
          <w:bCs/>
          <w:color w:val="000000"/>
          <w:sz w:val="20"/>
          <w:szCs w:val="20"/>
        </w:rPr>
        <w:br/>
      </w:r>
      <w:r>
        <w:rPr>
          <w:rStyle w:val="Strong"/>
          <w:rFonts w:ascii="Arial" w:hAnsi="Arial" w:cs="Arial"/>
          <w:color w:val="000000"/>
          <w:sz w:val="20"/>
          <w:szCs w:val="20"/>
        </w:rPr>
        <w:t xml:space="preserve">NOTE: THE ABOVE LINK IS FOR JOURNALISTS ONLY; IF YOU WISH TO PROVIDE A LINK FOR YOUR READERS, PLEASE USE THE FOLLOWING, WHICH WILL GO LIVE AT THE TIME THE EMBARGO LIFTS: </w:t>
      </w:r>
      <w:hyperlink r:id="rId14" w:history="1">
        <w:r>
          <w:rPr>
            <w:rStyle w:val="Hyperlink"/>
            <w:rFonts w:ascii="Arial" w:hAnsi="Arial" w:cs="Arial"/>
            <w:sz w:val="20"/>
            <w:szCs w:val="20"/>
          </w:rPr>
          <w:t>www.thelancet.com/commissions/EAT</w:t>
        </w:r>
      </w:hyperlink>
      <w:r>
        <w:rPr>
          <w:rStyle w:val="Strong"/>
          <w:rFonts w:ascii="Arial" w:hAnsi="Arial" w:cs="Arial"/>
          <w:color w:val="000000"/>
          <w:sz w:val="20"/>
          <w:szCs w:val="20"/>
        </w:rPr>
        <w:t> </w:t>
      </w:r>
    </w:p>
    <w:p w:rsidR="00E85F37" w:rsidRDefault="00E85F37" w:rsidP="00E85F37">
      <w:pPr>
        <w:pStyle w:val="NormalWeb"/>
        <w:spacing w:after="240" w:afterAutospacing="0"/>
        <w:rPr>
          <w:rFonts w:ascii="Arial" w:hAnsi="Arial" w:cs="Arial"/>
          <w:color w:val="444444"/>
          <w:sz w:val="23"/>
          <w:szCs w:val="23"/>
        </w:rPr>
      </w:pPr>
      <w:r>
        <w:rPr>
          <w:rStyle w:val="Strong"/>
          <w:rFonts w:ascii="Arial" w:hAnsi="Arial" w:cs="Arial"/>
          <w:color w:val="000000"/>
          <w:sz w:val="20"/>
          <w:szCs w:val="20"/>
        </w:rPr>
        <w:lastRenderedPageBreak/>
        <w:t xml:space="preserve">Contact The Lancet press office: </w:t>
      </w:r>
      <w:r>
        <w:rPr>
          <w:rFonts w:ascii="Arial" w:hAnsi="Arial" w:cs="Arial"/>
          <w:color w:val="444444"/>
          <w:sz w:val="23"/>
          <w:szCs w:val="23"/>
        </w:rPr>
        <w:br/>
      </w:r>
      <w:r>
        <w:rPr>
          <w:rStyle w:val="Strong"/>
          <w:rFonts w:ascii="Arial" w:hAnsi="Arial" w:cs="Arial"/>
          <w:color w:val="000000"/>
          <w:sz w:val="20"/>
          <w:szCs w:val="20"/>
        </w:rPr>
        <w:t xml:space="preserve">LONDON </w:t>
      </w:r>
      <w:r>
        <w:rPr>
          <w:rFonts w:ascii="Arial" w:hAnsi="Arial" w:cs="Arial"/>
          <w:color w:val="444444"/>
          <w:sz w:val="23"/>
          <w:szCs w:val="23"/>
        </w:rPr>
        <w:br/>
      </w:r>
      <w:r>
        <w:rPr>
          <w:rStyle w:val="Strong"/>
          <w:rFonts w:ascii="Arial" w:hAnsi="Arial" w:cs="Arial"/>
          <w:color w:val="000000"/>
          <w:sz w:val="20"/>
          <w:szCs w:val="20"/>
        </w:rPr>
        <w:t>Emily Head, Press Officer</w:t>
      </w:r>
      <w:r>
        <w:rPr>
          <w:rFonts w:ascii="Arial" w:hAnsi="Arial" w:cs="Arial"/>
          <w:color w:val="444444"/>
          <w:sz w:val="23"/>
          <w:szCs w:val="23"/>
        </w:rPr>
        <w:br/>
      </w:r>
      <w:r>
        <w:rPr>
          <w:rFonts w:ascii="Arial" w:hAnsi="Arial" w:cs="Arial"/>
          <w:color w:val="000000"/>
          <w:sz w:val="20"/>
          <w:szCs w:val="20"/>
        </w:rPr>
        <w:t>Tel: +44 (0) 207 424 4249 / Mob: +44 (0) 7920 530997</w:t>
      </w:r>
      <w:r>
        <w:rPr>
          <w:rFonts w:ascii="Arial" w:hAnsi="Arial" w:cs="Arial"/>
          <w:color w:val="444444"/>
          <w:sz w:val="23"/>
          <w:szCs w:val="23"/>
        </w:rPr>
        <w:br/>
      </w:r>
      <w:hyperlink r:id="rId15" w:tgtFrame="_blank" w:history="1">
        <w:r>
          <w:rPr>
            <w:rStyle w:val="Hyperlink"/>
            <w:rFonts w:ascii="Arial" w:hAnsi="Arial" w:cs="Arial"/>
            <w:sz w:val="20"/>
            <w:szCs w:val="20"/>
          </w:rPr>
          <w:t>emily.head@lancet.com</w:t>
        </w:r>
      </w:hyperlink>
      <w:r>
        <w:rPr>
          <w:rFonts w:ascii="Arial" w:hAnsi="Arial" w:cs="Arial"/>
          <w:color w:val="444444"/>
          <w:sz w:val="20"/>
          <w:szCs w:val="20"/>
        </w:rPr>
        <w:t> </w:t>
      </w:r>
      <w:r>
        <w:rPr>
          <w:rFonts w:ascii="Arial" w:hAnsi="Arial" w:cs="Arial"/>
          <w:color w:val="444444"/>
          <w:sz w:val="23"/>
          <w:szCs w:val="23"/>
        </w:rPr>
        <w:br/>
      </w:r>
      <w:r>
        <w:rPr>
          <w:rFonts w:ascii="Arial" w:hAnsi="Arial" w:cs="Arial"/>
          <w:color w:val="444444"/>
          <w:sz w:val="23"/>
          <w:szCs w:val="23"/>
        </w:rPr>
        <w:br/>
      </w:r>
      <w:r>
        <w:rPr>
          <w:rStyle w:val="Strong"/>
          <w:rFonts w:ascii="Arial" w:hAnsi="Arial" w:cs="Arial"/>
          <w:color w:val="000000"/>
          <w:sz w:val="20"/>
          <w:szCs w:val="20"/>
        </w:rPr>
        <w:t>Seil Collins, Head of Media and Communications</w:t>
      </w:r>
      <w:r>
        <w:rPr>
          <w:rFonts w:ascii="Arial" w:hAnsi="Arial" w:cs="Arial"/>
          <w:color w:val="444444"/>
          <w:sz w:val="23"/>
          <w:szCs w:val="23"/>
        </w:rPr>
        <w:br/>
      </w:r>
      <w:r>
        <w:rPr>
          <w:rFonts w:ascii="Arial" w:hAnsi="Arial" w:cs="Arial"/>
          <w:color w:val="000000"/>
          <w:sz w:val="20"/>
          <w:szCs w:val="20"/>
        </w:rPr>
        <w:t>Tel: +44 (0) 207 424 4949 / Mob: +44 (0) 7468 708644</w:t>
      </w:r>
      <w:r>
        <w:rPr>
          <w:rFonts w:ascii="Arial" w:hAnsi="Arial" w:cs="Arial"/>
          <w:color w:val="444444"/>
          <w:sz w:val="23"/>
          <w:szCs w:val="23"/>
        </w:rPr>
        <w:br/>
      </w:r>
      <w:hyperlink r:id="rId16" w:tgtFrame="_blank" w:history="1">
        <w:r>
          <w:rPr>
            <w:rStyle w:val="Hyperlink"/>
            <w:rFonts w:ascii="Arial" w:hAnsi="Arial" w:cs="Arial"/>
            <w:sz w:val="20"/>
            <w:szCs w:val="20"/>
          </w:rPr>
          <w:t>seil.collins@lancet.com</w:t>
        </w:r>
      </w:hyperlink>
      <w:r>
        <w:rPr>
          <w:rFonts w:ascii="Arial" w:hAnsi="Arial" w:cs="Arial"/>
          <w:color w:val="444444"/>
          <w:sz w:val="20"/>
          <w:szCs w:val="20"/>
        </w:rPr>
        <w:t> </w:t>
      </w:r>
    </w:p>
    <w:p w:rsidR="00E85F37" w:rsidRDefault="00E85F37" w:rsidP="00E85F37">
      <w:pPr>
        <w:pStyle w:val="NormalWeb"/>
        <w:spacing w:after="240" w:afterAutospacing="0"/>
        <w:rPr>
          <w:rFonts w:ascii="Arial" w:hAnsi="Arial" w:cs="Arial"/>
          <w:color w:val="444444"/>
          <w:sz w:val="23"/>
          <w:szCs w:val="23"/>
        </w:rPr>
      </w:pPr>
      <w:r>
        <w:rPr>
          <w:rStyle w:val="Strong"/>
          <w:rFonts w:ascii="Arial" w:hAnsi="Arial" w:cs="Arial"/>
          <w:color w:val="000000"/>
          <w:sz w:val="20"/>
          <w:szCs w:val="20"/>
        </w:rPr>
        <w:t xml:space="preserve">Jessica </w:t>
      </w:r>
      <w:proofErr w:type="spellStart"/>
      <w:r>
        <w:rPr>
          <w:rStyle w:val="Strong"/>
          <w:rFonts w:ascii="Arial" w:hAnsi="Arial" w:cs="Arial"/>
          <w:color w:val="000000"/>
          <w:sz w:val="20"/>
          <w:szCs w:val="20"/>
        </w:rPr>
        <w:t>Kleyn</w:t>
      </w:r>
      <w:proofErr w:type="spellEnd"/>
      <w:r>
        <w:rPr>
          <w:rStyle w:val="Strong"/>
          <w:rFonts w:ascii="Arial" w:hAnsi="Arial" w:cs="Arial"/>
          <w:color w:val="000000"/>
          <w:sz w:val="20"/>
          <w:szCs w:val="20"/>
        </w:rPr>
        <w:t>, Press Office Assistant</w:t>
      </w:r>
      <w:r>
        <w:rPr>
          <w:rFonts w:ascii="Arial" w:hAnsi="Arial" w:cs="Arial"/>
          <w:color w:val="444444"/>
          <w:sz w:val="23"/>
          <w:szCs w:val="23"/>
        </w:rPr>
        <w:br/>
      </w:r>
      <w:r>
        <w:rPr>
          <w:rFonts w:ascii="Arial" w:hAnsi="Arial" w:cs="Arial"/>
          <w:color w:val="000000"/>
          <w:sz w:val="20"/>
          <w:szCs w:val="20"/>
        </w:rPr>
        <w:t>Tel: +44 (0) 207 424 44300</w:t>
      </w:r>
      <w:r>
        <w:rPr>
          <w:rFonts w:ascii="Arial" w:hAnsi="Arial" w:cs="Arial"/>
          <w:color w:val="444444"/>
          <w:sz w:val="23"/>
          <w:szCs w:val="23"/>
        </w:rPr>
        <w:br/>
      </w:r>
      <w:hyperlink r:id="rId17" w:tgtFrame="_blank" w:history="1">
        <w:r>
          <w:rPr>
            <w:rStyle w:val="Hyperlink"/>
            <w:rFonts w:ascii="Arial" w:hAnsi="Arial" w:cs="Arial"/>
            <w:sz w:val="20"/>
            <w:szCs w:val="20"/>
          </w:rPr>
          <w:t>jessica.kleyn@lancet.com</w:t>
        </w:r>
      </w:hyperlink>
      <w:r>
        <w:rPr>
          <w:rFonts w:ascii="Arial" w:hAnsi="Arial" w:cs="Arial"/>
          <w:color w:val="444444"/>
          <w:sz w:val="20"/>
          <w:szCs w:val="20"/>
        </w:rPr>
        <w:t> </w:t>
      </w:r>
      <w:r>
        <w:rPr>
          <w:rFonts w:ascii="Arial" w:hAnsi="Arial" w:cs="Arial"/>
          <w:color w:val="444444"/>
          <w:sz w:val="23"/>
          <w:szCs w:val="23"/>
        </w:rPr>
        <w:br/>
      </w:r>
      <w:r>
        <w:rPr>
          <w:rFonts w:ascii="Arial" w:hAnsi="Arial" w:cs="Arial"/>
          <w:color w:val="444444"/>
          <w:sz w:val="23"/>
          <w:szCs w:val="23"/>
        </w:rPr>
        <w:br/>
      </w:r>
      <w:r>
        <w:rPr>
          <w:rStyle w:val="Strong"/>
          <w:rFonts w:ascii="Arial" w:hAnsi="Arial" w:cs="Arial"/>
          <w:color w:val="000000"/>
          <w:sz w:val="20"/>
          <w:szCs w:val="20"/>
        </w:rPr>
        <w:t xml:space="preserve">NEW YORK </w:t>
      </w:r>
      <w:r>
        <w:rPr>
          <w:rFonts w:ascii="Arial" w:hAnsi="Arial" w:cs="Arial"/>
          <w:color w:val="444444"/>
          <w:sz w:val="23"/>
          <w:szCs w:val="23"/>
        </w:rPr>
        <w:br/>
      </w:r>
      <w:r>
        <w:rPr>
          <w:rStyle w:val="Strong"/>
          <w:rFonts w:ascii="Arial" w:hAnsi="Arial" w:cs="Arial"/>
          <w:color w:val="000000"/>
          <w:sz w:val="20"/>
          <w:szCs w:val="20"/>
        </w:rPr>
        <w:t>Aaron van Dorn, Journal Office/Press Assistant</w:t>
      </w:r>
      <w:r>
        <w:rPr>
          <w:rFonts w:ascii="Arial" w:hAnsi="Arial" w:cs="Arial"/>
          <w:color w:val="444444"/>
          <w:sz w:val="23"/>
          <w:szCs w:val="23"/>
        </w:rPr>
        <w:br/>
      </w:r>
      <w:r>
        <w:rPr>
          <w:rFonts w:ascii="Arial" w:hAnsi="Arial" w:cs="Arial"/>
          <w:color w:val="000000"/>
          <w:sz w:val="20"/>
          <w:szCs w:val="20"/>
        </w:rPr>
        <w:t>Tel: +01 212-633-3810 / Fax: +01 212-633-3850</w:t>
      </w:r>
      <w:r>
        <w:rPr>
          <w:rFonts w:ascii="Arial" w:hAnsi="Arial" w:cs="Arial"/>
          <w:color w:val="444444"/>
          <w:sz w:val="23"/>
          <w:szCs w:val="23"/>
        </w:rPr>
        <w:br/>
      </w:r>
      <w:hyperlink r:id="rId18" w:tgtFrame="_blank" w:history="1">
        <w:r>
          <w:rPr>
            <w:rStyle w:val="Hyperlink"/>
            <w:rFonts w:ascii="Arial" w:hAnsi="Arial" w:cs="Arial"/>
            <w:sz w:val="20"/>
            <w:szCs w:val="20"/>
          </w:rPr>
          <w:t>a.vandorn@lancet.com</w:t>
        </w:r>
      </w:hyperlink>
      <w:r>
        <w:rPr>
          <w:rFonts w:ascii="Arial" w:hAnsi="Arial" w:cs="Arial"/>
          <w:color w:val="444444"/>
          <w:sz w:val="20"/>
          <w:szCs w:val="20"/>
        </w:rPr>
        <w:t> </w:t>
      </w:r>
    </w:p>
    <w:p w:rsidR="00A922C0" w:rsidRDefault="00A922C0">
      <w:bookmarkStart w:id="0" w:name="_GoBack"/>
      <w:bookmarkEnd w:id="0"/>
    </w:p>
    <w:sectPr w:rsidR="00A922C0" w:rsidSect="00E85F3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636"/>
    <w:multiLevelType w:val="multilevel"/>
    <w:tmpl w:val="F6AE1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37"/>
    <w:rsid w:val="00A922C0"/>
    <w:rsid w:val="00E85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E3645-5DD8-4287-B22B-B578AAE0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F37"/>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5F37"/>
    <w:rPr>
      <w:color w:val="0000FF"/>
      <w:u w:val="single"/>
    </w:rPr>
  </w:style>
  <w:style w:type="paragraph" w:styleId="NormalWeb">
    <w:name w:val="Normal (Web)"/>
    <w:basedOn w:val="Normal"/>
    <w:uiPriority w:val="99"/>
    <w:semiHidden/>
    <w:unhideWhenUsed/>
    <w:rsid w:val="00E85F37"/>
    <w:pPr>
      <w:spacing w:before="100" w:beforeAutospacing="1" w:after="100" w:afterAutospacing="1"/>
    </w:pPr>
  </w:style>
  <w:style w:type="character" w:styleId="Strong">
    <w:name w:val="Strong"/>
    <w:basedOn w:val="DefaultParagraphFont"/>
    <w:uiPriority w:val="22"/>
    <w:qFormat/>
    <w:rsid w:val="00E85F37"/>
    <w:rPr>
      <w:b/>
      <w:bCs/>
    </w:rPr>
  </w:style>
  <w:style w:type="character" w:styleId="Emphasis">
    <w:name w:val="Emphasis"/>
    <w:basedOn w:val="DefaultParagraphFont"/>
    <w:uiPriority w:val="20"/>
    <w:qFormat/>
    <w:rsid w:val="00E85F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3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head@lancet.com" TargetMode="External"/><Relationship Id="rId13" Type="http://schemas.openxmlformats.org/officeDocument/2006/relationships/hyperlink" Target="http://www.thelancet-press.com/embargo/EATCommGraphic.pdf" TargetMode="External"/><Relationship Id="rId18" Type="http://schemas.openxmlformats.org/officeDocument/2006/relationships/hyperlink" Target="mailto:a.vandorn@lancet.com" TargetMode="External"/><Relationship Id="rId3" Type="http://schemas.openxmlformats.org/officeDocument/2006/relationships/settings" Target="settings.xml"/><Relationship Id="rId7" Type="http://schemas.openxmlformats.org/officeDocument/2006/relationships/hyperlink" Target="http://www.thelancet-press.com/embargo/EATContacts.pdf" TargetMode="External"/><Relationship Id="rId12" Type="http://schemas.openxmlformats.org/officeDocument/2006/relationships/hyperlink" Target="http://www.thelancet-press.com/embargo/EATCommEdi.pdf" TargetMode="External"/><Relationship Id="rId17" Type="http://schemas.openxmlformats.org/officeDocument/2006/relationships/hyperlink" Target="mailto:jessica.kleyn@lancet.com" TargetMode="External"/><Relationship Id="rId2" Type="http://schemas.openxmlformats.org/officeDocument/2006/relationships/styles" Target="styles.xml"/><Relationship Id="rId16" Type="http://schemas.openxmlformats.org/officeDocument/2006/relationships/hyperlink" Target="mailto:seil.collins@lancet.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ressoffice@lancet.com" TargetMode="External"/><Relationship Id="rId11" Type="http://schemas.openxmlformats.org/officeDocument/2006/relationships/hyperlink" Target="http://www.thelancet-press.com/embargo/EATCommAPPX.pdf" TargetMode="External"/><Relationship Id="rId5" Type="http://schemas.openxmlformats.org/officeDocument/2006/relationships/hyperlink" Target="http://www.sciencemediacentre.org/wp-content/uploads/2018/01/AMS-press-release-labelling-system-GUIDANCE.pdf" TargetMode="External"/><Relationship Id="rId15" Type="http://schemas.openxmlformats.org/officeDocument/2006/relationships/hyperlink" Target="mailto:emily.head@lancet.com" TargetMode="External"/><Relationship Id="rId10" Type="http://schemas.openxmlformats.org/officeDocument/2006/relationships/hyperlink" Target="http://www.thelancet-press.com/embargo/EATComm.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il.collins@lancet.com" TargetMode="External"/><Relationship Id="rId14" Type="http://schemas.openxmlformats.org/officeDocument/2006/relationships/hyperlink" Target="http://www.thelancet.com/commissions/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Henry</dc:creator>
  <cp:keywords/>
  <dc:description/>
  <cp:lastModifiedBy>Olivia Henry</cp:lastModifiedBy>
  <cp:revision>1</cp:revision>
  <dcterms:created xsi:type="dcterms:W3CDTF">2019-01-14T22:54:00Z</dcterms:created>
  <dcterms:modified xsi:type="dcterms:W3CDTF">2019-01-14T22:55:00Z</dcterms:modified>
</cp:coreProperties>
</file>