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15" w:type="dxa"/>
        <w:tblCellMar>
          <w:left w:w="0" w:type="dxa"/>
          <w:right w:w="0" w:type="dxa"/>
        </w:tblCellMar>
        <w:tblLook w:val="04A0" w:firstRow="1" w:lastRow="0" w:firstColumn="1" w:lastColumn="0" w:noHBand="0" w:noVBand="1"/>
      </w:tblPr>
      <w:tblGrid>
        <w:gridCol w:w="9026"/>
      </w:tblGrid>
      <w:tr w:rsidR="00816476" w:rsidTr="00816476">
        <w:trPr>
          <w:tblCellSpacing w:w="15" w:type="dxa"/>
          <w:jc w:val="center"/>
        </w:trPr>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816476">
              <w:trPr>
                <w:tblCellSpacing w:w="0" w:type="dxa"/>
              </w:trPr>
              <w:tc>
                <w:tcPr>
                  <w:tcW w:w="0" w:type="auto"/>
                  <w:vAlign w:val="center"/>
                  <w:hideMark/>
                </w:tcPr>
                <w:p w:rsidR="00816476" w:rsidRDefault="00816476">
                  <w:pPr>
                    <w:pStyle w:val="NormalWeb"/>
                    <w:spacing w:after="300" w:afterAutospacing="0" w:line="300" w:lineRule="atLeast"/>
                  </w:pPr>
                  <w:r>
                    <w:rPr>
                      <w:rFonts w:ascii="Helvetica" w:hAnsi="Helvetica" w:cs="Helvetica"/>
                      <w:b/>
                      <w:bCs/>
                      <w:sz w:val="27"/>
                      <w:szCs w:val="27"/>
                    </w:rPr>
                    <w:t>CSIRO News Release - Climate Science Centre a win for Australia's future</w:t>
                  </w:r>
                </w:p>
              </w:tc>
            </w:tr>
            <w:tr w:rsidR="00816476">
              <w:trPr>
                <w:tblCellSpacing w:w="0" w:type="dxa"/>
              </w:trPr>
              <w:tc>
                <w:tcPr>
                  <w:tcW w:w="0" w:type="auto"/>
                  <w:vAlign w:val="center"/>
                </w:tcPr>
                <w:tbl>
                  <w:tblPr>
                    <w:tblW w:w="8580" w:type="dxa"/>
                    <w:tblCellMar>
                      <w:left w:w="0" w:type="dxa"/>
                      <w:right w:w="0" w:type="dxa"/>
                    </w:tblCellMar>
                    <w:tblLook w:val="04A0" w:firstRow="1" w:lastRow="0" w:firstColumn="1" w:lastColumn="0" w:noHBand="0" w:noVBand="1"/>
                  </w:tblPr>
                  <w:tblGrid>
                    <w:gridCol w:w="8732"/>
                  </w:tblGrid>
                  <w:tr w:rsidR="00816476">
                    <w:tc>
                      <w:tcPr>
                        <w:tcW w:w="0" w:type="auto"/>
                        <w:tcBorders>
                          <w:top w:val="single" w:sz="48" w:space="0" w:color="01313D"/>
                          <w:left w:val="single" w:sz="48" w:space="0" w:color="01313D"/>
                          <w:bottom w:val="single" w:sz="48" w:space="0" w:color="01313D"/>
                          <w:right w:val="single" w:sz="48" w:space="0" w:color="01313D"/>
                        </w:tcBorders>
                        <w:vAlign w:val="center"/>
                        <w:hideMark/>
                      </w:tcPr>
                      <w:tbl>
                        <w:tblPr>
                          <w:tblW w:w="0" w:type="auto"/>
                          <w:jc w:val="center"/>
                          <w:tblCellMar>
                            <w:left w:w="0" w:type="dxa"/>
                            <w:right w:w="0" w:type="dxa"/>
                          </w:tblCellMar>
                          <w:tblLook w:val="04A0" w:firstRow="1" w:lastRow="0" w:firstColumn="1" w:lastColumn="0" w:noHBand="0" w:noVBand="1"/>
                        </w:tblPr>
                        <w:tblGrid>
                          <w:gridCol w:w="209"/>
                          <w:gridCol w:w="6834"/>
                          <w:gridCol w:w="1391"/>
                          <w:gridCol w:w="178"/>
                        </w:tblGrid>
                        <w:tr w:rsidR="00816476">
                          <w:trPr>
                            <w:trHeight w:val="375"/>
                            <w:jc w:val="center"/>
                          </w:trPr>
                          <w:tc>
                            <w:tcPr>
                              <w:tcW w:w="245" w:type="dxa"/>
                              <w:shd w:val="clear" w:color="auto" w:fill="FFFFFF"/>
                              <w:vAlign w:val="center"/>
                              <w:hideMark/>
                            </w:tcPr>
                            <w:p w:rsidR="00816476" w:rsidRDefault="00816476"/>
                          </w:tc>
                          <w:tc>
                            <w:tcPr>
                              <w:tcW w:w="5385" w:type="dxa"/>
                              <w:shd w:val="clear" w:color="auto" w:fill="FFFFFF"/>
                              <w:vAlign w:val="center"/>
                              <w:hideMark/>
                            </w:tcPr>
                            <w:p w:rsidR="00816476" w:rsidRDefault="00816476">
                              <w:pPr>
                                <w:pStyle w:val="Heading1"/>
                                <w:spacing w:after="120" w:afterAutospacing="0"/>
                                <w:rPr>
                                  <w:rFonts w:ascii="Verdana" w:eastAsia="Times New Roman" w:hAnsi="Verdana"/>
                                </w:rPr>
                              </w:pPr>
                              <w:r>
                                <w:rPr>
                                  <w:rFonts w:ascii="Verdana" w:eastAsia="Times New Roman" w:hAnsi="Verdana"/>
                                  <w:color w:val="01313D"/>
                                  <w:sz w:val="42"/>
                                  <w:szCs w:val="42"/>
                                </w:rPr>
                                <w:t>NEWS</w:t>
                              </w:r>
                              <w:r>
                                <w:rPr>
                                  <w:rFonts w:ascii="Verdana" w:eastAsia="Times New Roman" w:hAnsi="Verdana"/>
                                  <w:b w:val="0"/>
                                  <w:bCs w:val="0"/>
                                  <w:color w:val="01313D"/>
                                  <w:sz w:val="42"/>
                                  <w:szCs w:val="42"/>
                                </w:rPr>
                                <w:t>RELEASE</w:t>
                              </w:r>
                            </w:p>
                            <w:p w:rsidR="00816476" w:rsidRDefault="00816476">
                              <w:pPr>
                                <w:pStyle w:val="NormalWeb"/>
                                <w:spacing w:after="120" w:afterAutospacing="0"/>
                                <w:rPr>
                                  <w:rFonts w:ascii="Verdana" w:hAnsi="Verdana"/>
                                </w:rPr>
                              </w:pPr>
                              <w:r>
                                <w:rPr>
                                  <w:rFonts w:ascii="Verdana" w:hAnsi="Verdana"/>
                                  <w:sz w:val="15"/>
                                  <w:szCs w:val="15"/>
                                </w:rPr>
                                <w:t>26 APRIL 2016</w:t>
                              </w:r>
                            </w:p>
                          </w:tc>
                          <w:tc>
                            <w:tcPr>
                              <w:tcW w:w="1095" w:type="dxa"/>
                              <w:shd w:val="clear" w:color="auto" w:fill="FFFFFF"/>
                              <w:vAlign w:val="center"/>
                              <w:hideMark/>
                            </w:tcPr>
                            <w:p w:rsidR="00816476" w:rsidRDefault="00816476">
                              <w:pPr>
                                <w:pStyle w:val="NormalWeb"/>
                                <w:jc w:val="right"/>
                                <w:rPr>
                                  <w:rFonts w:ascii="Verdana" w:hAnsi="Verdana"/>
                                </w:rPr>
                              </w:pPr>
                              <w:r>
                                <w:rPr>
                                  <w:rFonts w:ascii="Verdana" w:hAnsi="Verdana"/>
                                  <w:noProof/>
                                  <w:color w:val="01313D"/>
                                </w:rPr>
                                <w:drawing>
                                  <wp:inline distT="0" distB="0" distL="0" distR="0">
                                    <wp:extent cx="676275" cy="676275"/>
                                    <wp:effectExtent l="0" t="0" r="9525" b="9525"/>
                                    <wp:docPr id="8" name="Picture 8" descr="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245" w:type="dxa"/>
                              <w:shd w:val="clear" w:color="auto" w:fill="FFFFFF"/>
                              <w:vAlign w:val="center"/>
                              <w:hideMark/>
                            </w:tcPr>
                            <w:p w:rsidR="00816476" w:rsidRDefault="00816476">
                              <w:pPr>
                                <w:rPr>
                                  <w:rFonts w:ascii="Verdana" w:hAnsi="Verdana"/>
                                </w:rPr>
                              </w:pPr>
                            </w:p>
                          </w:tc>
                        </w:tr>
                        <w:tr w:rsidR="00816476">
                          <w:trPr>
                            <w:trHeight w:val="210"/>
                            <w:jc w:val="center"/>
                          </w:trPr>
                          <w:tc>
                            <w:tcPr>
                              <w:tcW w:w="0" w:type="auto"/>
                              <w:gridSpan w:val="4"/>
                              <w:shd w:val="clear" w:color="auto" w:fill="FFFFFF"/>
                              <w:vAlign w:val="center"/>
                              <w:hideMark/>
                            </w:tcPr>
                            <w:p w:rsidR="00816476" w:rsidRDefault="00816476">
                              <w:pPr>
                                <w:rPr>
                                  <w:rFonts w:eastAsia="Times New Roman"/>
                                  <w:sz w:val="20"/>
                                  <w:szCs w:val="20"/>
                                </w:rPr>
                              </w:pPr>
                            </w:p>
                          </w:tc>
                        </w:tr>
                        <w:tr w:rsidR="00816476">
                          <w:trPr>
                            <w:jc w:val="center"/>
                          </w:trPr>
                          <w:tc>
                            <w:tcPr>
                              <w:tcW w:w="245" w:type="dxa"/>
                              <w:vMerge w:val="restart"/>
                              <w:shd w:val="clear" w:color="auto" w:fill="FFFFFF"/>
                              <w:vAlign w:val="center"/>
                              <w:hideMark/>
                            </w:tcPr>
                            <w:p w:rsidR="00816476" w:rsidRDefault="00816476">
                              <w:pPr>
                                <w:rPr>
                                  <w:rFonts w:eastAsia="Times New Roman"/>
                                  <w:sz w:val="20"/>
                                  <w:szCs w:val="20"/>
                                </w:rPr>
                              </w:pPr>
                            </w:p>
                          </w:tc>
                          <w:tc>
                            <w:tcPr>
                              <w:tcW w:w="0" w:type="auto"/>
                              <w:gridSpan w:val="2"/>
                              <w:shd w:val="clear" w:color="auto" w:fill="FFFFFF"/>
                              <w:vAlign w:val="center"/>
                              <w:hideMark/>
                            </w:tcPr>
                            <w:p w:rsidR="00816476" w:rsidRDefault="00816476">
                              <w:pPr>
                                <w:pStyle w:val="Heading2"/>
                                <w:spacing w:after="0" w:afterAutospacing="0"/>
                                <w:rPr>
                                  <w:rFonts w:ascii="Verdana" w:eastAsia="Times New Roman" w:hAnsi="Verdana"/>
                                </w:rPr>
                              </w:pPr>
                              <w:r>
                                <w:rPr>
                                  <w:rStyle w:val="Strong"/>
                                  <w:rFonts w:ascii="Verdana" w:eastAsia="Times New Roman" w:hAnsi="Verdana"/>
                                  <w:b/>
                                  <w:bCs/>
                                  <w:sz w:val="23"/>
                                  <w:szCs w:val="23"/>
                                </w:rPr>
                                <w:t>CLIMATE SCIENCE CENTRE A WIN FOR AUSTRALIA'S FUTURE</w:t>
                              </w:r>
                            </w:p>
                            <w:p w:rsidR="00816476" w:rsidRDefault="00816476">
                              <w:pPr>
                                <w:pStyle w:val="NormalWeb"/>
                                <w:rPr>
                                  <w:rFonts w:ascii="Verdana" w:hAnsi="Verdana"/>
                                  <w:color w:val="01313D"/>
                                  <w:sz w:val="18"/>
                                  <w:szCs w:val="18"/>
                                </w:rPr>
                              </w:pPr>
                              <w:r>
                                <w:rPr>
                                  <w:rFonts w:ascii="Verdana" w:hAnsi="Verdana"/>
                                  <w:color w:val="01313D"/>
                                  <w:sz w:val="18"/>
                                  <w:szCs w:val="18"/>
                                </w:rPr>
                                <w:t>The CSIRO has today announced the establis</w:t>
                              </w:r>
                              <w:bookmarkStart w:id="0" w:name="_GoBack"/>
                              <w:bookmarkEnd w:id="0"/>
                              <w:r>
                                <w:rPr>
                                  <w:rFonts w:ascii="Verdana" w:hAnsi="Verdana"/>
                                  <w:color w:val="01313D"/>
                                  <w:sz w:val="18"/>
                                  <w:szCs w:val="18"/>
                                </w:rPr>
                                <w:t>hment of a national climate research centre to be based in Hobart.</w:t>
                              </w:r>
                              <w:r>
                                <w:rPr>
                                  <w:rFonts w:ascii="Verdana" w:hAnsi="Verdana"/>
                                  <w:color w:val="01313D"/>
                                  <w:sz w:val="18"/>
                                  <w:szCs w:val="18"/>
                                </w:rPr>
                                <w:br/>
                              </w:r>
                              <w:r>
                                <w:rPr>
                                  <w:rFonts w:ascii="Verdana" w:hAnsi="Verdana"/>
                                  <w:color w:val="01313D"/>
                                  <w:sz w:val="18"/>
                                  <w:szCs w:val="18"/>
                                </w:rPr>
                                <w:br/>
                                <w:t>CSIRO Chief Executive Dr Larry Marshall said the CSIRO Climate Science Centre will focus on climate modelling and projections for Australia, drawing on both national and international research expertise.</w:t>
                              </w:r>
                              <w:r>
                                <w:rPr>
                                  <w:rFonts w:ascii="Verdana" w:hAnsi="Verdana"/>
                                  <w:color w:val="01313D"/>
                                  <w:sz w:val="18"/>
                                  <w:szCs w:val="18"/>
                                </w:rPr>
                                <w:br/>
                              </w:r>
                              <w:r>
                                <w:rPr>
                                  <w:rFonts w:ascii="Verdana" w:hAnsi="Verdana"/>
                                  <w:color w:val="01313D"/>
                                  <w:sz w:val="18"/>
                                  <w:szCs w:val="18"/>
                                </w:rPr>
                                <w:br/>
                                <w:t>"Our Strategy 2020 is focussed on collaboration, global connection, excellent science and innovation – all four of these pillars are at work in this Centre," Dr Marshall said.</w:t>
                              </w:r>
                              <w:r>
                                <w:rPr>
                                  <w:rFonts w:ascii="Verdana" w:hAnsi="Verdana"/>
                                  <w:color w:val="01313D"/>
                                  <w:sz w:val="18"/>
                                  <w:szCs w:val="18"/>
                                </w:rPr>
                                <w:br/>
                              </w:r>
                              <w:r>
                                <w:rPr>
                                  <w:rFonts w:ascii="Verdana" w:hAnsi="Verdana"/>
                                  <w:color w:val="01313D"/>
                                  <w:sz w:val="18"/>
                                  <w:szCs w:val="18"/>
                                </w:rPr>
                                <w:br/>
                                <w:t>"As I indicated at the start of CSIRO's current broader change process, it is critical that we retain the capability that underpins our national climate research effort.</w:t>
                              </w:r>
                              <w:r>
                                <w:rPr>
                                  <w:rFonts w:ascii="Verdana" w:hAnsi="Verdana"/>
                                  <w:color w:val="01313D"/>
                                  <w:sz w:val="18"/>
                                  <w:szCs w:val="18"/>
                                </w:rPr>
                                <w:br/>
                              </w:r>
                              <w:r>
                                <w:rPr>
                                  <w:rFonts w:ascii="Verdana" w:hAnsi="Verdana"/>
                                  <w:color w:val="01313D"/>
                                  <w:sz w:val="18"/>
                                  <w:szCs w:val="18"/>
                                </w:rPr>
                                <w:br/>
                                <w:t>"The announcement today is a culmination of the ongoing consultation and feedback we've had from our staff and stakeholders, and this new Centre is a reflection of the strong collaboration and support right across our system and the global community."</w:t>
                              </w:r>
                              <w:r>
                                <w:rPr>
                                  <w:rFonts w:ascii="Verdana" w:hAnsi="Verdana"/>
                                  <w:color w:val="01313D"/>
                                  <w:sz w:val="18"/>
                                  <w:szCs w:val="18"/>
                                </w:rPr>
                                <w:br/>
                              </w:r>
                              <w:r>
                                <w:rPr>
                                  <w:rFonts w:ascii="Verdana" w:hAnsi="Verdana"/>
                                  <w:color w:val="01313D"/>
                                  <w:sz w:val="18"/>
                                  <w:szCs w:val="18"/>
                                </w:rPr>
                                <w:br/>
                                <w:t>Operating as part of CSIRO Oceans and Atmosphere, the new CSIRO Climate Science Centre has a guaranteed research capability for 10 years and will focus CSIRO's climate measurement and modelling researchers and resources.</w:t>
                              </w:r>
                              <w:r>
                                <w:rPr>
                                  <w:rFonts w:ascii="Verdana" w:hAnsi="Verdana"/>
                                  <w:color w:val="01313D"/>
                                  <w:sz w:val="18"/>
                                  <w:szCs w:val="18"/>
                                </w:rPr>
                                <w:br/>
                              </w:r>
                              <w:r>
                                <w:rPr>
                                  <w:rFonts w:ascii="Verdana" w:hAnsi="Verdana"/>
                                  <w:color w:val="01313D"/>
                                  <w:sz w:val="18"/>
                                  <w:szCs w:val="18"/>
                                </w:rPr>
                                <w:br/>
                                <w:t>Collaboration and partnership will be a cornerstone of this decadal commitment for Australia. In recognition of this, the Minister for Industry, Innovation and Science has agreed that an independent National Climate Science Advisory Committee will be established.</w:t>
                              </w:r>
                              <w:r>
                                <w:rPr>
                                  <w:rFonts w:ascii="Verdana" w:hAnsi="Verdana"/>
                                  <w:color w:val="01313D"/>
                                  <w:sz w:val="18"/>
                                  <w:szCs w:val="18"/>
                                </w:rPr>
                                <w:br/>
                              </w:r>
                              <w:r>
                                <w:rPr>
                                  <w:rFonts w:ascii="Verdana" w:hAnsi="Verdana"/>
                                  <w:color w:val="01313D"/>
                                  <w:sz w:val="18"/>
                                  <w:szCs w:val="18"/>
                                </w:rPr>
                                <w:br/>
                                <w:t>The Committee will have representation from CSIRO, the Bureau of Meteorology and other experts from Australia and overseas.</w:t>
                              </w:r>
                              <w:r>
                                <w:rPr>
                                  <w:rFonts w:ascii="Verdana" w:hAnsi="Verdana"/>
                                  <w:color w:val="01313D"/>
                                  <w:sz w:val="18"/>
                                  <w:szCs w:val="18"/>
                                </w:rPr>
                                <w:br/>
                              </w:r>
                              <w:r>
                                <w:rPr>
                                  <w:rFonts w:ascii="Verdana" w:hAnsi="Verdana"/>
                                  <w:color w:val="01313D"/>
                                  <w:sz w:val="18"/>
                                  <w:szCs w:val="18"/>
                                </w:rPr>
                                <w:br/>
                                <w:t>It will report at Ministerial level to inform the future direction of Australia's climate science capability and research priorities.</w:t>
                              </w:r>
                              <w:r>
                                <w:rPr>
                                  <w:rFonts w:ascii="Verdana" w:hAnsi="Verdana"/>
                                  <w:color w:val="01313D"/>
                                  <w:sz w:val="18"/>
                                  <w:szCs w:val="18"/>
                                </w:rPr>
                                <w:br/>
                              </w:r>
                              <w:r>
                                <w:rPr>
                                  <w:rFonts w:ascii="Verdana" w:hAnsi="Verdana"/>
                                  <w:color w:val="01313D"/>
                                  <w:sz w:val="18"/>
                                  <w:szCs w:val="18"/>
                                </w:rPr>
                                <w:br/>
                                <w:t>The Minister will work with the Minister for the Environment in the Committee's establishment.</w:t>
                              </w:r>
                              <w:r>
                                <w:rPr>
                                  <w:rFonts w:ascii="Verdana" w:hAnsi="Verdana"/>
                                  <w:color w:val="01313D"/>
                                  <w:sz w:val="18"/>
                                  <w:szCs w:val="18"/>
                                </w:rPr>
                                <w:br/>
                              </w:r>
                              <w:r>
                                <w:rPr>
                                  <w:rFonts w:ascii="Verdana" w:hAnsi="Verdana"/>
                                  <w:color w:val="01313D"/>
                                  <w:sz w:val="18"/>
                                  <w:szCs w:val="18"/>
                                </w:rPr>
                                <w:br/>
                                <w:t>"The Centre, with support from the Advisory Committee, will allow scientists across the nation to provide a decadal commitment to climate research in the nation's interest," Dr Marshall said.</w:t>
                              </w:r>
                              <w:r>
                                <w:rPr>
                                  <w:rFonts w:ascii="Verdana" w:hAnsi="Verdana"/>
                                  <w:color w:val="01313D"/>
                                  <w:sz w:val="18"/>
                                  <w:szCs w:val="18"/>
                                </w:rPr>
                                <w:br/>
                              </w:r>
                              <w:r>
                                <w:rPr>
                                  <w:rFonts w:ascii="Verdana" w:hAnsi="Verdana"/>
                                  <w:color w:val="01313D"/>
                                  <w:sz w:val="18"/>
                                  <w:szCs w:val="18"/>
                                </w:rPr>
                                <w:br/>
                                <w:t>The foundation of the Centre will be 40 full time CSIRO scientists.</w:t>
                              </w:r>
                              <w:r>
                                <w:rPr>
                                  <w:rFonts w:ascii="Verdana" w:hAnsi="Verdana"/>
                                  <w:color w:val="01313D"/>
                                  <w:sz w:val="18"/>
                                  <w:szCs w:val="18"/>
                                </w:rPr>
                                <w:br/>
                              </w:r>
                              <w:r>
                                <w:rPr>
                                  <w:rFonts w:ascii="Verdana" w:hAnsi="Verdana"/>
                                  <w:color w:val="01313D"/>
                                  <w:sz w:val="18"/>
                                  <w:szCs w:val="18"/>
                                </w:rPr>
                                <w:br/>
                                <w:t>It will work closely with researchers from Australian universities and other stakeholders.</w:t>
                              </w:r>
                              <w:r>
                                <w:rPr>
                                  <w:rFonts w:ascii="Verdana" w:hAnsi="Verdana"/>
                                  <w:color w:val="01313D"/>
                                  <w:sz w:val="18"/>
                                  <w:szCs w:val="18"/>
                                </w:rPr>
                                <w:br/>
                              </w:r>
                              <w:r>
                                <w:rPr>
                                  <w:rFonts w:ascii="Verdana" w:hAnsi="Verdana"/>
                                  <w:color w:val="01313D"/>
                                  <w:sz w:val="18"/>
                                  <w:szCs w:val="18"/>
                                </w:rPr>
                                <w:br/>
                                <w:t>Working closely with the Bureau of Meteorology, the CSIRO is also planning to deepen its existing partnership with the UK Meteorology Office.</w:t>
                              </w:r>
                              <w:r>
                                <w:rPr>
                                  <w:rFonts w:ascii="Verdana" w:hAnsi="Verdana"/>
                                  <w:color w:val="01313D"/>
                                  <w:sz w:val="18"/>
                                  <w:szCs w:val="18"/>
                                </w:rPr>
                                <w:br/>
                              </w:r>
                              <w:r>
                                <w:rPr>
                                  <w:rFonts w:ascii="Verdana" w:hAnsi="Verdana"/>
                                  <w:color w:val="01313D"/>
                                  <w:sz w:val="18"/>
                                  <w:szCs w:val="18"/>
                                </w:rPr>
                                <w:br/>
                                <w:t>CSIRO will offer its unique Southern Hemisphere modelling capability and measurements to the UK's global model, helping to build a model that is even more relevant for Australia and other Southern Hemisphere nations.</w:t>
                              </w:r>
                              <w:r>
                                <w:rPr>
                                  <w:rFonts w:ascii="Verdana" w:hAnsi="Verdana"/>
                                  <w:color w:val="01313D"/>
                                  <w:sz w:val="18"/>
                                  <w:szCs w:val="18"/>
                                </w:rPr>
                                <w:br/>
                              </w:r>
                              <w:r>
                                <w:rPr>
                                  <w:rFonts w:ascii="Verdana" w:hAnsi="Verdana"/>
                                  <w:color w:val="01313D"/>
                                  <w:sz w:val="18"/>
                                  <w:szCs w:val="18"/>
                                </w:rPr>
                                <w:lastRenderedPageBreak/>
                                <w:br/>
                                <w:t xml:space="preserve">All of CSIRO's critical measurement infrastructure, such as the ice and air libraries, ARGO float program and Cape Grim, will be guaranteed in the same manner as the other national facilities such as the RV </w:t>
                              </w:r>
                              <w:r>
                                <w:rPr>
                                  <w:rStyle w:val="Emphasis"/>
                                  <w:rFonts w:ascii="Verdana" w:hAnsi="Verdana"/>
                                  <w:color w:val="01313D"/>
                                  <w:sz w:val="18"/>
                                  <w:szCs w:val="18"/>
                                </w:rPr>
                                <w:t>Investigator</w:t>
                              </w:r>
                              <w:r>
                                <w:rPr>
                                  <w:rFonts w:ascii="Verdana" w:hAnsi="Verdana"/>
                                  <w:color w:val="01313D"/>
                                  <w:sz w:val="18"/>
                                  <w:szCs w:val="18"/>
                                </w:rPr>
                                <w:t>, which is also centred in Hobart.</w:t>
                              </w:r>
                              <w:r>
                                <w:rPr>
                                  <w:rFonts w:ascii="Verdana" w:hAnsi="Verdana"/>
                                  <w:color w:val="01313D"/>
                                  <w:sz w:val="18"/>
                                  <w:szCs w:val="18"/>
                                </w:rPr>
                                <w:br/>
                              </w:r>
                              <w:r>
                                <w:rPr>
                                  <w:rFonts w:ascii="Verdana" w:hAnsi="Verdana"/>
                                  <w:color w:val="01313D"/>
                                  <w:sz w:val="18"/>
                                  <w:szCs w:val="18"/>
                                </w:rPr>
                                <w:br/>
                                <w:t>CSIRO thanks Australia's Chief Scientist, Dr Alan Finkel AO, and its colleagues at the Bureau of Meteorology for their support in shaping this important national agenda.</w:t>
                              </w:r>
                            </w:p>
                          </w:tc>
                          <w:tc>
                            <w:tcPr>
                              <w:tcW w:w="245" w:type="dxa"/>
                              <w:vMerge w:val="restart"/>
                              <w:shd w:val="clear" w:color="auto" w:fill="FFFFFF"/>
                              <w:vAlign w:val="center"/>
                              <w:hideMark/>
                            </w:tcPr>
                            <w:p w:rsidR="00816476" w:rsidRDefault="00816476">
                              <w:pPr>
                                <w:rPr>
                                  <w:rFonts w:ascii="Verdana" w:hAnsi="Verdana"/>
                                  <w:color w:val="01313D"/>
                                  <w:sz w:val="18"/>
                                  <w:szCs w:val="18"/>
                                </w:rPr>
                              </w:pPr>
                            </w:p>
                          </w:tc>
                        </w:tr>
                        <w:tr w:rsidR="00816476">
                          <w:trPr>
                            <w:trHeight w:val="150"/>
                            <w:jc w:val="center"/>
                          </w:trPr>
                          <w:tc>
                            <w:tcPr>
                              <w:tcW w:w="0" w:type="auto"/>
                              <w:vMerge/>
                              <w:vAlign w:val="center"/>
                              <w:hideMark/>
                            </w:tcPr>
                            <w:p w:rsidR="00816476" w:rsidRDefault="00816476">
                              <w:pPr>
                                <w:rPr>
                                  <w:rFonts w:eastAsia="Times New Roman"/>
                                  <w:sz w:val="20"/>
                                  <w:szCs w:val="20"/>
                                </w:rPr>
                              </w:pPr>
                            </w:p>
                          </w:tc>
                          <w:tc>
                            <w:tcPr>
                              <w:tcW w:w="0" w:type="auto"/>
                              <w:gridSpan w:val="2"/>
                              <w:shd w:val="clear" w:color="auto" w:fill="FFFFFF"/>
                              <w:vAlign w:val="center"/>
                              <w:hideMark/>
                            </w:tcPr>
                            <w:p w:rsidR="00816476" w:rsidRDefault="00816476">
                              <w:pPr>
                                <w:rPr>
                                  <w:rFonts w:eastAsia="Times New Roman"/>
                                  <w:sz w:val="20"/>
                                  <w:szCs w:val="20"/>
                                </w:rPr>
                              </w:pPr>
                            </w:p>
                          </w:tc>
                          <w:tc>
                            <w:tcPr>
                              <w:tcW w:w="0" w:type="auto"/>
                              <w:vMerge/>
                              <w:vAlign w:val="center"/>
                              <w:hideMark/>
                            </w:tcPr>
                            <w:p w:rsidR="00816476" w:rsidRDefault="00816476">
                              <w:pPr>
                                <w:rPr>
                                  <w:rFonts w:ascii="Verdana" w:hAnsi="Verdana"/>
                                  <w:color w:val="01313D"/>
                                  <w:sz w:val="18"/>
                                  <w:szCs w:val="18"/>
                                </w:rPr>
                              </w:pPr>
                            </w:p>
                          </w:tc>
                        </w:tr>
                        <w:tr w:rsidR="00816476">
                          <w:trPr>
                            <w:jc w:val="center"/>
                          </w:trPr>
                          <w:tc>
                            <w:tcPr>
                              <w:tcW w:w="0" w:type="auto"/>
                              <w:gridSpan w:val="4"/>
                              <w:vAlign w:val="center"/>
                              <w:hideMark/>
                            </w:tcPr>
                            <w:p w:rsidR="00816476" w:rsidRDefault="00816476">
                              <w:pPr>
                                <w:pStyle w:val="NormalWeb"/>
                                <w:jc w:val="center"/>
                                <w:rPr>
                                  <w:rFonts w:ascii="Verdana" w:hAnsi="Verdana"/>
                                </w:rPr>
                              </w:pPr>
                              <w:r>
                                <w:rPr>
                                  <w:rFonts w:ascii="Verdana" w:hAnsi="Verdana"/>
                                  <w:noProof/>
                                </w:rPr>
                                <w:drawing>
                                  <wp:inline distT="0" distB="0" distL="0" distR="0">
                                    <wp:extent cx="5457825" cy="285750"/>
                                    <wp:effectExtent l="0" t="0" r="9525" b="0"/>
                                    <wp:docPr id="7" name="Picture 7" descr="http://www.csiro.au/news/newsletters/MR_test/images/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iro.au/news/newsletters/MR_test/images/contac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285750"/>
                                            </a:xfrm>
                                            <a:prstGeom prst="rect">
                                              <a:avLst/>
                                            </a:prstGeom>
                                            <a:noFill/>
                                            <a:ln>
                                              <a:noFill/>
                                            </a:ln>
                                          </pic:spPr>
                                        </pic:pic>
                                      </a:graphicData>
                                    </a:graphic>
                                  </wp:inline>
                                </w:drawing>
                              </w:r>
                            </w:p>
                          </w:tc>
                        </w:tr>
                        <w:tr w:rsidR="00816476">
                          <w:trPr>
                            <w:jc w:val="center"/>
                          </w:trPr>
                          <w:tc>
                            <w:tcPr>
                              <w:tcW w:w="0" w:type="auto"/>
                              <w:gridSpan w:val="4"/>
                              <w:vAlign w:val="center"/>
                              <w:hideMark/>
                            </w:tcPr>
                            <w:tbl>
                              <w:tblPr>
                                <w:tblW w:w="8580" w:type="dxa"/>
                                <w:jc w:val="center"/>
                                <w:tblCellSpacing w:w="0" w:type="dxa"/>
                                <w:tblCellMar>
                                  <w:left w:w="0" w:type="dxa"/>
                                  <w:right w:w="0" w:type="dxa"/>
                                </w:tblCellMar>
                                <w:tblLook w:val="04A0" w:firstRow="1" w:lastRow="0" w:firstColumn="1" w:lastColumn="0" w:noHBand="0" w:noVBand="1"/>
                              </w:tblPr>
                              <w:tblGrid>
                                <w:gridCol w:w="270"/>
                                <w:gridCol w:w="8040"/>
                                <w:gridCol w:w="270"/>
                              </w:tblGrid>
                              <w:tr w:rsidR="00816476">
                                <w:trPr>
                                  <w:trHeight w:val="150"/>
                                  <w:tblCellSpacing w:w="0" w:type="dxa"/>
                                  <w:jc w:val="center"/>
                                </w:trPr>
                                <w:tc>
                                  <w:tcPr>
                                    <w:tcW w:w="0" w:type="auto"/>
                                    <w:shd w:val="clear" w:color="auto" w:fill="FFFFFF"/>
                                    <w:vAlign w:val="center"/>
                                    <w:hideMark/>
                                  </w:tcPr>
                                  <w:p w:rsidR="00816476" w:rsidRDefault="00816476">
                                    <w:pPr>
                                      <w:rPr>
                                        <w:rFonts w:ascii="Verdana" w:hAnsi="Verdana"/>
                                      </w:rPr>
                                    </w:pPr>
                                  </w:p>
                                </w:tc>
                                <w:tc>
                                  <w:tcPr>
                                    <w:tcW w:w="0" w:type="auto"/>
                                    <w:shd w:val="clear" w:color="auto" w:fill="FFFFFF"/>
                                    <w:vAlign w:val="center"/>
                                    <w:hideMark/>
                                  </w:tcPr>
                                  <w:p w:rsidR="00816476" w:rsidRDefault="00816476">
                                    <w:pPr>
                                      <w:rPr>
                                        <w:rFonts w:eastAsia="Times New Roman"/>
                                        <w:sz w:val="20"/>
                                        <w:szCs w:val="20"/>
                                      </w:rPr>
                                    </w:pPr>
                                  </w:p>
                                </w:tc>
                                <w:tc>
                                  <w:tcPr>
                                    <w:tcW w:w="0" w:type="auto"/>
                                    <w:shd w:val="clear" w:color="auto" w:fill="FFFFFF"/>
                                    <w:vAlign w:val="center"/>
                                    <w:hideMark/>
                                  </w:tcPr>
                                  <w:p w:rsidR="00816476" w:rsidRDefault="00816476">
                                    <w:pPr>
                                      <w:rPr>
                                        <w:rFonts w:eastAsia="Times New Roman"/>
                                        <w:sz w:val="20"/>
                                        <w:szCs w:val="20"/>
                                      </w:rPr>
                                    </w:pPr>
                                  </w:p>
                                </w:tc>
                              </w:tr>
                              <w:tr w:rsidR="00816476">
                                <w:trPr>
                                  <w:tblCellSpacing w:w="0" w:type="dxa"/>
                                  <w:jc w:val="center"/>
                                </w:trPr>
                                <w:tc>
                                  <w:tcPr>
                                    <w:tcW w:w="705" w:type="dxa"/>
                                    <w:shd w:val="clear" w:color="auto" w:fill="FFFFFF"/>
                                    <w:vAlign w:val="center"/>
                                    <w:hideMark/>
                                  </w:tcPr>
                                  <w:p w:rsidR="00816476" w:rsidRDefault="00816476">
                                    <w:pPr>
                                      <w:rPr>
                                        <w:rFonts w:eastAsia="Times New Roman"/>
                                        <w:sz w:val="20"/>
                                        <w:szCs w:val="20"/>
                                      </w:rPr>
                                    </w:pPr>
                                  </w:p>
                                </w:tc>
                                <w:tc>
                                  <w:tcPr>
                                    <w:tcW w:w="0" w:type="auto"/>
                                    <w:shd w:val="clear" w:color="auto" w:fill="FFFFFF"/>
                                    <w:vAlign w:val="center"/>
                                    <w:hideMark/>
                                  </w:tcPr>
                                  <w:tbl>
                                    <w:tblPr>
                                      <w:tblW w:w="8040" w:type="dxa"/>
                                      <w:tblCellSpacing w:w="15" w:type="dxa"/>
                                      <w:tblCellMar>
                                        <w:left w:w="0" w:type="dxa"/>
                                        <w:right w:w="0" w:type="dxa"/>
                                      </w:tblCellMar>
                                      <w:tblLook w:val="04A0" w:firstRow="1" w:lastRow="0" w:firstColumn="1" w:lastColumn="0" w:noHBand="0" w:noVBand="1"/>
                                    </w:tblPr>
                                    <w:tblGrid>
                                      <w:gridCol w:w="967"/>
                                      <w:gridCol w:w="1876"/>
                                      <w:gridCol w:w="2291"/>
                                      <w:gridCol w:w="2906"/>
                                    </w:tblGrid>
                                    <w:tr w:rsidR="00816476">
                                      <w:trPr>
                                        <w:tblCellSpacing w:w="15" w:type="dxa"/>
                                      </w:trPr>
                                      <w:tc>
                                        <w:tcPr>
                                          <w:tcW w:w="900" w:type="dxa"/>
                                          <w:tcMar>
                                            <w:top w:w="15" w:type="dxa"/>
                                            <w:left w:w="15" w:type="dxa"/>
                                            <w:bottom w:w="15" w:type="dxa"/>
                                            <w:right w:w="15" w:type="dxa"/>
                                          </w:tcMar>
                                          <w:vAlign w:val="center"/>
                                          <w:hideMark/>
                                        </w:tcPr>
                                        <w:p w:rsidR="00816476" w:rsidRDefault="00816476">
                                          <w:pPr>
                                            <w:pStyle w:val="Heading3"/>
                                            <w:rPr>
                                              <w:rFonts w:eastAsia="Times New Roman"/>
                                            </w:rPr>
                                          </w:pPr>
                                          <w:r>
                                            <w:rPr>
                                              <w:rFonts w:ascii="Verdana" w:eastAsia="Times New Roman" w:hAnsi="Verdana"/>
                                              <w:color w:val="01313D"/>
                                              <w:sz w:val="17"/>
                                              <w:szCs w:val="17"/>
                                            </w:rPr>
                                            <w:t>MEDIA</w:t>
                                          </w:r>
                                        </w:p>
                                      </w:tc>
                                      <w:tc>
                                        <w:tcPr>
                                          <w:tcW w:w="1800" w:type="dxa"/>
                                          <w:tcMar>
                                            <w:top w:w="15" w:type="dxa"/>
                                            <w:left w:w="15" w:type="dxa"/>
                                            <w:bottom w:w="15" w:type="dxa"/>
                                            <w:right w:w="15" w:type="dxa"/>
                                          </w:tcMar>
                                          <w:vAlign w:val="center"/>
                                          <w:hideMark/>
                                        </w:tcPr>
                                        <w:p w:rsidR="00816476" w:rsidRDefault="00816476">
                                          <w:pPr>
                                            <w:pStyle w:val="NormalWeb"/>
                                          </w:pPr>
                                          <w:proofErr w:type="spellStart"/>
                                          <w:r>
                                            <w:rPr>
                                              <w:rFonts w:ascii="Verdana" w:hAnsi="Verdana"/>
                                              <w:color w:val="01313D"/>
                                              <w:sz w:val="17"/>
                                              <w:szCs w:val="17"/>
                                            </w:rPr>
                                            <w:t>Huw</w:t>
                                          </w:r>
                                          <w:proofErr w:type="spellEnd"/>
                                          <w:r>
                                            <w:rPr>
                                              <w:rFonts w:ascii="Verdana" w:hAnsi="Verdana"/>
                                              <w:color w:val="01313D"/>
                                              <w:sz w:val="17"/>
                                              <w:szCs w:val="17"/>
                                            </w:rPr>
                                            <w:t xml:space="preserve"> Morgan</w:t>
                                          </w:r>
                                        </w:p>
                                      </w:tc>
                                      <w:tc>
                                        <w:tcPr>
                                          <w:tcW w:w="2205" w:type="dxa"/>
                                          <w:tcMar>
                                            <w:top w:w="15" w:type="dxa"/>
                                            <w:left w:w="15" w:type="dxa"/>
                                            <w:bottom w:w="15" w:type="dxa"/>
                                            <w:right w:w="15" w:type="dxa"/>
                                          </w:tcMar>
                                          <w:vAlign w:val="center"/>
                                          <w:hideMark/>
                                        </w:tcPr>
                                        <w:p w:rsidR="00816476" w:rsidRDefault="00816476">
                                          <w:pPr>
                                            <w:pStyle w:val="NormalWeb"/>
                                          </w:pPr>
                                          <w:r>
                                            <w:rPr>
                                              <w:rFonts w:ascii="Verdana" w:hAnsi="Verdana"/>
                                              <w:b/>
                                              <w:bCs/>
                                              <w:color w:val="01313D"/>
                                              <w:sz w:val="17"/>
                                              <w:szCs w:val="17"/>
                                            </w:rPr>
                                            <w:t xml:space="preserve">m </w:t>
                                          </w:r>
                                          <w:r>
                                            <w:rPr>
                                              <w:rFonts w:ascii="Verdana" w:hAnsi="Verdana"/>
                                              <w:color w:val="01313D"/>
                                              <w:sz w:val="17"/>
                                              <w:szCs w:val="17"/>
                                            </w:rPr>
                                            <w:t>0417 834 547</w:t>
                                          </w:r>
                                        </w:p>
                                      </w:tc>
                                      <w:tc>
                                        <w:tcPr>
                                          <w:tcW w:w="2790" w:type="dxa"/>
                                          <w:tcMar>
                                            <w:top w:w="15" w:type="dxa"/>
                                            <w:left w:w="15" w:type="dxa"/>
                                            <w:bottom w:w="15" w:type="dxa"/>
                                            <w:right w:w="15" w:type="dxa"/>
                                          </w:tcMar>
                                          <w:vAlign w:val="center"/>
                                          <w:hideMark/>
                                        </w:tcPr>
                                        <w:p w:rsidR="00816476" w:rsidRDefault="00816476">
                                          <w:pPr>
                                            <w:pStyle w:val="NormalWeb"/>
                                          </w:pPr>
                                          <w:r>
                                            <w:rPr>
                                              <w:rFonts w:ascii="Verdana" w:hAnsi="Verdana"/>
                                              <w:b/>
                                              <w:bCs/>
                                              <w:color w:val="01313D"/>
                                              <w:sz w:val="17"/>
                                              <w:szCs w:val="17"/>
                                            </w:rPr>
                                            <w:t xml:space="preserve">e </w:t>
                                          </w:r>
                                          <w:hyperlink r:id="rId6" w:history="1">
                                            <w:r>
                                              <w:rPr>
                                                <w:rStyle w:val="Hyperlink"/>
                                                <w:rFonts w:ascii="Verdana" w:hAnsi="Verdana"/>
                                                <w:sz w:val="17"/>
                                                <w:szCs w:val="17"/>
                                              </w:rPr>
                                              <w:t>huw.morgan@csiro.au</w:t>
                                            </w:r>
                                          </w:hyperlink>
                                        </w:p>
                                      </w:tc>
                                    </w:tr>
                                  </w:tbl>
                                  <w:p w:rsidR="00816476" w:rsidRDefault="00816476">
                                    <w:pPr>
                                      <w:rPr>
                                        <w:rFonts w:eastAsia="Times New Roman"/>
                                        <w:sz w:val="20"/>
                                        <w:szCs w:val="20"/>
                                      </w:rPr>
                                    </w:pPr>
                                  </w:p>
                                </w:tc>
                                <w:tc>
                                  <w:tcPr>
                                    <w:tcW w:w="705" w:type="dxa"/>
                                    <w:shd w:val="clear" w:color="auto" w:fill="FFFFFF"/>
                                    <w:vAlign w:val="center"/>
                                    <w:hideMark/>
                                  </w:tcPr>
                                  <w:p w:rsidR="00816476" w:rsidRDefault="00816476">
                                    <w:pPr>
                                      <w:rPr>
                                        <w:rFonts w:eastAsia="Times New Roman"/>
                                        <w:sz w:val="20"/>
                                        <w:szCs w:val="20"/>
                                      </w:rPr>
                                    </w:pPr>
                                  </w:p>
                                </w:tc>
                              </w:tr>
                            </w:tbl>
                            <w:p w:rsidR="00816476" w:rsidRDefault="00816476">
                              <w:pPr>
                                <w:jc w:val="center"/>
                                <w:rPr>
                                  <w:rFonts w:eastAsia="Times New Roman"/>
                                  <w:sz w:val="20"/>
                                  <w:szCs w:val="20"/>
                                </w:rPr>
                              </w:pPr>
                            </w:p>
                          </w:tc>
                        </w:tr>
                        <w:tr w:rsidR="00816476">
                          <w:trPr>
                            <w:trHeight w:val="150"/>
                            <w:jc w:val="center"/>
                          </w:trPr>
                          <w:tc>
                            <w:tcPr>
                              <w:tcW w:w="0" w:type="auto"/>
                              <w:gridSpan w:val="2"/>
                              <w:shd w:val="clear" w:color="auto" w:fill="FFFFFF"/>
                              <w:vAlign w:val="center"/>
                              <w:hideMark/>
                            </w:tcPr>
                            <w:p w:rsidR="00816476" w:rsidRDefault="00816476">
                              <w:pPr>
                                <w:rPr>
                                  <w:rFonts w:eastAsia="Times New Roman"/>
                                  <w:sz w:val="20"/>
                                  <w:szCs w:val="20"/>
                                </w:rPr>
                              </w:pPr>
                            </w:p>
                          </w:tc>
                          <w:tc>
                            <w:tcPr>
                              <w:tcW w:w="0" w:type="auto"/>
                              <w:vAlign w:val="center"/>
                              <w:hideMark/>
                            </w:tcPr>
                            <w:p w:rsidR="00816476" w:rsidRDefault="00816476">
                              <w:pPr>
                                <w:rPr>
                                  <w:rFonts w:eastAsia="Times New Roman"/>
                                  <w:sz w:val="20"/>
                                  <w:szCs w:val="20"/>
                                </w:rPr>
                              </w:pPr>
                            </w:p>
                          </w:tc>
                          <w:tc>
                            <w:tcPr>
                              <w:tcW w:w="0" w:type="auto"/>
                              <w:vAlign w:val="center"/>
                              <w:hideMark/>
                            </w:tcPr>
                            <w:p w:rsidR="00816476" w:rsidRDefault="00816476">
                              <w:pPr>
                                <w:rPr>
                                  <w:rFonts w:eastAsia="Times New Roman"/>
                                  <w:sz w:val="20"/>
                                  <w:szCs w:val="20"/>
                                </w:rPr>
                              </w:pPr>
                            </w:p>
                          </w:tc>
                        </w:tr>
                      </w:tbl>
                      <w:p w:rsidR="00816476" w:rsidRDefault="00816476">
                        <w:pPr>
                          <w:jc w:val="center"/>
                          <w:rPr>
                            <w:rFonts w:eastAsia="Times New Roman"/>
                            <w:sz w:val="20"/>
                            <w:szCs w:val="20"/>
                          </w:rPr>
                        </w:pPr>
                      </w:p>
                    </w:tc>
                  </w:tr>
                </w:tbl>
                <w:p w:rsidR="00816476" w:rsidRDefault="00816476">
                  <w:pPr>
                    <w:rPr>
                      <w:rFonts w:eastAsia="Times New Roman"/>
                    </w:rPr>
                  </w:pPr>
                </w:p>
                <w:tbl>
                  <w:tblPr>
                    <w:tblW w:w="0" w:type="auto"/>
                    <w:jc w:val="center"/>
                    <w:tblCellSpacing w:w="15" w:type="dxa"/>
                    <w:tblLook w:val="04A0" w:firstRow="1" w:lastRow="0" w:firstColumn="1" w:lastColumn="0" w:noHBand="0" w:noVBand="1"/>
                  </w:tblPr>
                  <w:tblGrid>
                    <w:gridCol w:w="465"/>
                    <w:gridCol w:w="450"/>
                    <w:gridCol w:w="450"/>
                    <w:gridCol w:w="450"/>
                    <w:gridCol w:w="450"/>
                    <w:gridCol w:w="465"/>
                  </w:tblGrid>
                  <w:tr w:rsidR="00816476">
                    <w:trPr>
                      <w:tblCellSpacing w:w="15" w:type="dxa"/>
                      <w:jc w:val="center"/>
                    </w:trPr>
                    <w:tc>
                      <w:tcPr>
                        <w:tcW w:w="0" w:type="auto"/>
                        <w:tcMar>
                          <w:top w:w="15" w:type="dxa"/>
                          <w:left w:w="15" w:type="dxa"/>
                          <w:bottom w:w="15" w:type="dxa"/>
                          <w:right w:w="15" w:type="dxa"/>
                        </w:tcMar>
                        <w:vAlign w:val="center"/>
                        <w:hideMark/>
                      </w:tcPr>
                      <w:p w:rsidR="00816476" w:rsidRDefault="00816476">
                        <w:pPr>
                          <w:rPr>
                            <w:rFonts w:eastAsia="Times New Roman"/>
                          </w:rPr>
                        </w:pPr>
                        <w:r>
                          <w:rPr>
                            <w:rFonts w:eastAsia="Times New Roman"/>
                            <w:noProof/>
                            <w:color w:val="0000FF"/>
                          </w:rPr>
                          <w:drawing>
                            <wp:inline distT="0" distB="0" distL="0" distR="0">
                              <wp:extent cx="238125" cy="238125"/>
                              <wp:effectExtent l="0" t="0" r="9525" b="9525"/>
                              <wp:docPr id="6" name="Picture 6" descr="Twitter ic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816476" w:rsidRDefault="00816476">
                        <w:pPr>
                          <w:rPr>
                            <w:rFonts w:eastAsia="Times New Roman"/>
                          </w:rPr>
                        </w:pPr>
                        <w:r>
                          <w:rPr>
                            <w:rFonts w:eastAsia="Times New Roman"/>
                            <w:noProof/>
                            <w:color w:val="0000FF"/>
                          </w:rPr>
                          <w:drawing>
                            <wp:inline distT="0" distB="0" distL="0" distR="0">
                              <wp:extent cx="238125" cy="238125"/>
                              <wp:effectExtent l="0" t="0" r="9525" b="9525"/>
                              <wp:docPr id="5" name="Picture 5" descr="Facebook 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816476" w:rsidRDefault="00816476">
                        <w:pPr>
                          <w:rPr>
                            <w:rFonts w:eastAsia="Times New Roman"/>
                          </w:rPr>
                        </w:pPr>
                        <w:r>
                          <w:rPr>
                            <w:rFonts w:eastAsia="Times New Roman"/>
                            <w:noProof/>
                            <w:color w:val="0000FF"/>
                          </w:rPr>
                          <w:drawing>
                            <wp:inline distT="0" distB="0" distL="0" distR="0">
                              <wp:extent cx="238125" cy="238125"/>
                              <wp:effectExtent l="0" t="0" r="9525" b="9525"/>
                              <wp:docPr id="4" name="Picture 4" descr="Blog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g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816476" w:rsidRDefault="00816476">
                        <w:pPr>
                          <w:rPr>
                            <w:rFonts w:eastAsia="Times New Roman"/>
                          </w:rPr>
                        </w:pPr>
                        <w:r>
                          <w:rPr>
                            <w:rFonts w:eastAsia="Times New Roman"/>
                            <w:noProof/>
                            <w:color w:val="0000FF"/>
                          </w:rPr>
                          <w:drawing>
                            <wp:inline distT="0" distB="0" distL="0" distR="0">
                              <wp:extent cx="238125" cy="238125"/>
                              <wp:effectExtent l="0" t="0" r="9525" b="9525"/>
                              <wp:docPr id="3" name="Picture 3" descr="LinkedIn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edIn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816476" w:rsidRDefault="00816476">
                        <w:pPr>
                          <w:rPr>
                            <w:rFonts w:eastAsia="Times New Roman"/>
                          </w:rPr>
                        </w:pPr>
                        <w:r>
                          <w:rPr>
                            <w:rFonts w:eastAsia="Times New Roman"/>
                            <w:noProof/>
                            <w:color w:val="0000FF"/>
                          </w:rPr>
                          <w:drawing>
                            <wp:inline distT="0" distB="0" distL="0" distR="0">
                              <wp:extent cx="238125" cy="238125"/>
                              <wp:effectExtent l="0" t="0" r="9525" b="9525"/>
                              <wp:docPr id="2" name="Picture 2" descr="Pinterest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teres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816476" w:rsidRDefault="00816476">
                        <w:pPr>
                          <w:rPr>
                            <w:rFonts w:eastAsia="Times New Roman"/>
                          </w:rPr>
                        </w:pPr>
                        <w:r>
                          <w:rPr>
                            <w:rFonts w:eastAsia="Times New Roman"/>
                            <w:noProof/>
                            <w:color w:val="0000FF"/>
                          </w:rPr>
                          <w:drawing>
                            <wp:inline distT="0" distB="0" distL="0" distR="0">
                              <wp:extent cx="238125" cy="238125"/>
                              <wp:effectExtent l="0" t="0" r="9525" b="9525"/>
                              <wp:docPr id="1" name="Picture 1" descr="YouTube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816476" w:rsidRDefault="00816476">
                  <w:pPr>
                    <w:jc w:val="center"/>
                    <w:rPr>
                      <w:rFonts w:eastAsia="Times New Roman"/>
                      <w:sz w:val="20"/>
                      <w:szCs w:val="20"/>
                    </w:rPr>
                  </w:pPr>
                </w:p>
              </w:tc>
            </w:tr>
          </w:tbl>
          <w:p w:rsidR="00816476" w:rsidRDefault="00816476">
            <w:pPr>
              <w:rPr>
                <w:rFonts w:eastAsia="Times New Roman"/>
                <w:sz w:val="20"/>
                <w:szCs w:val="20"/>
              </w:rPr>
            </w:pPr>
          </w:p>
        </w:tc>
      </w:tr>
    </w:tbl>
    <w:p w:rsidR="004021A4" w:rsidRDefault="004021A4"/>
    <w:sectPr w:rsidR="00402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76"/>
    <w:rsid w:val="004021A4"/>
    <w:rsid w:val="00816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176F6-0BD7-4F8D-9BE7-928A135D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476"/>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81647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816476"/>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8164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476"/>
    <w:rPr>
      <w:rFonts w:ascii="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816476"/>
    <w:rPr>
      <w:rFonts w:ascii="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816476"/>
    <w:rPr>
      <w:rFonts w:ascii="Times New Roman" w:hAnsi="Times New Roman" w:cs="Times New Roman"/>
      <w:b/>
      <w:bCs/>
      <w:sz w:val="27"/>
      <w:szCs w:val="27"/>
      <w:lang w:eastAsia="en-AU"/>
    </w:rPr>
  </w:style>
  <w:style w:type="character" w:styleId="Hyperlink">
    <w:name w:val="Hyperlink"/>
    <w:basedOn w:val="DefaultParagraphFont"/>
    <w:uiPriority w:val="99"/>
    <w:semiHidden/>
    <w:unhideWhenUsed/>
    <w:rsid w:val="00816476"/>
    <w:rPr>
      <w:color w:val="0000FF"/>
      <w:u w:val="single"/>
    </w:rPr>
  </w:style>
  <w:style w:type="paragraph" w:styleId="NormalWeb">
    <w:name w:val="Normal (Web)"/>
    <w:basedOn w:val="Normal"/>
    <w:uiPriority w:val="99"/>
    <w:semiHidden/>
    <w:unhideWhenUsed/>
    <w:rsid w:val="00816476"/>
    <w:pPr>
      <w:spacing w:before="100" w:beforeAutospacing="1" w:after="100" w:afterAutospacing="1"/>
    </w:pPr>
  </w:style>
  <w:style w:type="character" w:styleId="Strong">
    <w:name w:val="Strong"/>
    <w:basedOn w:val="DefaultParagraphFont"/>
    <w:uiPriority w:val="22"/>
    <w:qFormat/>
    <w:rsid w:val="00816476"/>
    <w:rPr>
      <w:b/>
      <w:bCs/>
    </w:rPr>
  </w:style>
  <w:style w:type="character" w:styleId="Emphasis">
    <w:name w:val="Emphasis"/>
    <w:basedOn w:val="DefaultParagraphFont"/>
    <w:uiPriority w:val="20"/>
    <w:qFormat/>
    <w:rsid w:val="00816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6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vents.csiro.au/sitecore/RedirectUrlPage.aspx?ec_contact_id=8E5C1CBD482DCC0416F9E7D07FC300C2&amp;ec_message_id=D0DD71DE28A641DE8592ABEE5E74B36C&amp;ec_url=http%3a%2f%2fwww.linkedin.com%2fcompany%2fcsiro" TargetMode="External"/><Relationship Id="rId18"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https://events.csiro.au/sitecore/RedirectUrlPage.aspx?ec_contact_id=8E5C1CBD482DCC0416F9E7D07FC300C2&amp;ec_message_id=D0DD71DE28A641DE8592ABEE5E74B36C&amp;ec_url=https%3a%2f%2ftwitter.com%2fcsironews" TargetMode="External"/><Relationship Id="rId12" Type="http://schemas.openxmlformats.org/officeDocument/2006/relationships/image" Target="media/image5.jpeg"/><Relationship Id="rId17" Type="http://schemas.openxmlformats.org/officeDocument/2006/relationships/hyperlink" Target="https://events.csiro.au/sitecore/RedirectUrlPage.aspx?ec_contact_id=8E5C1CBD482DCC0416F9E7D07FC300C2&amp;ec_message_id=D0DD71DE28A641DE8592ABEE5E74B36C&amp;ec_url=http%3a%2f%2fwww.youtube.com%2fuser%2fcsiro"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uw.morgan@csiro.au" TargetMode="External"/><Relationship Id="rId11" Type="http://schemas.openxmlformats.org/officeDocument/2006/relationships/hyperlink" Target="https://events.csiro.au/sitecore/RedirectUrlPage.aspx?ec_contact_id=8E5C1CBD482DCC0416F9E7D07FC300C2&amp;ec_message_id=D0DD71DE28A641DE8592ABEE5E74B36C&amp;ec_url=http%3a%2f%2fcsironewsblog.com%2f" TargetMode="External"/><Relationship Id="rId5" Type="http://schemas.openxmlformats.org/officeDocument/2006/relationships/image" Target="media/image2.png"/><Relationship Id="rId15" Type="http://schemas.openxmlformats.org/officeDocument/2006/relationships/hyperlink" Target="https://events.csiro.au/sitecore/RedirectUrlPage.aspx?ec_contact_id=8E5C1CBD482DCC0416F9E7D07FC300C2&amp;ec_message_id=D0DD71DE28A641DE8592ABEE5E74B36C&amp;ec_url=http%3a%2f%2fwww.pinterest.com%2fcsiropins%2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vents.csiro.au/sitecore/RedirectUrlPage.aspx?ec_contact_id=8E5C1CBD482DCC0416F9E7D07FC300C2&amp;ec_message_id=D0DD71DE28A641DE8592ABEE5E74B36C&amp;ec_url=https%3a%2f%2fwww.facebook.com%2fpages%2fCSIRO%2f142468583842"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0</DocSecurity>
  <Lines>22</Lines>
  <Paragraphs>6</Paragraphs>
  <ScaleCrop>false</ScaleCrop>
  <Company>Australian Science Media Centre</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Milton</dc:creator>
  <cp:keywords/>
  <dc:description/>
  <cp:lastModifiedBy>Joseph Milton</cp:lastModifiedBy>
  <cp:revision>1</cp:revision>
  <dcterms:created xsi:type="dcterms:W3CDTF">2016-04-25T23:54:00Z</dcterms:created>
  <dcterms:modified xsi:type="dcterms:W3CDTF">2016-04-25T23:54:00Z</dcterms:modified>
</cp:coreProperties>
</file>