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AED" w:rsidRDefault="00DB6AED" w:rsidP="005D36E5">
      <w:pPr>
        <w:rPr>
          <w:b/>
        </w:rPr>
      </w:pPr>
    </w:p>
    <w:p w:rsidR="00DB6AED" w:rsidRPr="00E514EB" w:rsidRDefault="00E514EB" w:rsidP="005D36E5">
      <w:pPr>
        <w:rPr>
          <w:b/>
        </w:rPr>
      </w:pPr>
      <w:r w:rsidRPr="00E514EB">
        <w:rPr>
          <w:b/>
        </w:rPr>
        <w:t xml:space="preserve">EMBARGOED NOT FOR RELEASE PRIOR TO 12.05 AM </w:t>
      </w:r>
      <w:r w:rsidR="00B862E3">
        <w:rPr>
          <w:b/>
        </w:rPr>
        <w:t xml:space="preserve">WEDNESDAY </w:t>
      </w:r>
      <w:r w:rsidRPr="00E514EB">
        <w:rPr>
          <w:b/>
        </w:rPr>
        <w:t xml:space="preserve">OCTOBER </w:t>
      </w:r>
      <w:r w:rsidR="00DB6AED" w:rsidRPr="00E514EB">
        <w:rPr>
          <w:b/>
        </w:rPr>
        <w:t>1</w:t>
      </w:r>
      <w:r w:rsidR="00B862E3">
        <w:rPr>
          <w:b/>
        </w:rPr>
        <w:t>4</w:t>
      </w:r>
      <w:r w:rsidR="00DB6AED" w:rsidRPr="00E514EB">
        <w:rPr>
          <w:b/>
        </w:rPr>
        <w:t xml:space="preserve"> 2015</w:t>
      </w:r>
    </w:p>
    <w:p w:rsidR="005D36E5" w:rsidRDefault="005D6E43" w:rsidP="005D36E5">
      <w:pPr>
        <w:rPr>
          <w:b/>
          <w:color w:val="FF0000"/>
          <w:sz w:val="32"/>
          <w:szCs w:val="32"/>
        </w:rPr>
      </w:pPr>
      <w:r>
        <w:rPr>
          <w:b/>
          <w:color w:val="FF0000"/>
          <w:sz w:val="32"/>
          <w:szCs w:val="32"/>
        </w:rPr>
        <w:t xml:space="preserve">Crystal </w:t>
      </w:r>
      <w:r w:rsidR="004173E7">
        <w:rPr>
          <w:b/>
          <w:color w:val="FF0000"/>
          <w:sz w:val="32"/>
          <w:szCs w:val="32"/>
        </w:rPr>
        <w:t>m</w:t>
      </w:r>
      <w:r w:rsidR="004173E7" w:rsidRPr="005D36E5">
        <w:rPr>
          <w:b/>
          <w:color w:val="FF0000"/>
          <w:sz w:val="32"/>
          <w:szCs w:val="32"/>
        </w:rPr>
        <w:t>ethamphetamine</w:t>
      </w:r>
      <w:r w:rsidR="005D36E5" w:rsidRPr="005D36E5">
        <w:rPr>
          <w:b/>
          <w:color w:val="FF0000"/>
          <w:sz w:val="32"/>
          <w:szCs w:val="32"/>
        </w:rPr>
        <w:t xml:space="preserve"> use</w:t>
      </w:r>
      <w:r w:rsidR="00AB3F7A">
        <w:rPr>
          <w:b/>
          <w:color w:val="FF0000"/>
          <w:sz w:val="32"/>
          <w:szCs w:val="32"/>
        </w:rPr>
        <w:t xml:space="preserve"> </w:t>
      </w:r>
      <w:r w:rsidR="004173E7">
        <w:rPr>
          <w:b/>
          <w:color w:val="FF0000"/>
          <w:sz w:val="32"/>
          <w:szCs w:val="32"/>
        </w:rPr>
        <w:t>increases</w:t>
      </w:r>
      <w:r>
        <w:rPr>
          <w:b/>
          <w:color w:val="FF0000"/>
          <w:sz w:val="32"/>
          <w:szCs w:val="32"/>
        </w:rPr>
        <w:t xml:space="preserve"> by six per cent </w:t>
      </w:r>
      <w:r w:rsidR="005D36E5" w:rsidRPr="005D36E5">
        <w:rPr>
          <w:b/>
          <w:color w:val="FF0000"/>
          <w:sz w:val="32"/>
          <w:szCs w:val="32"/>
        </w:rPr>
        <w:t xml:space="preserve">among </w:t>
      </w:r>
      <w:r w:rsidR="00AB3F7A">
        <w:rPr>
          <w:b/>
          <w:color w:val="FF0000"/>
          <w:sz w:val="32"/>
          <w:szCs w:val="32"/>
        </w:rPr>
        <w:t>people who inject drugs</w:t>
      </w:r>
      <w:r w:rsidR="005D36E5" w:rsidRPr="005D36E5">
        <w:rPr>
          <w:b/>
          <w:color w:val="FF0000"/>
          <w:sz w:val="32"/>
          <w:szCs w:val="32"/>
        </w:rPr>
        <w:t xml:space="preserve"> but </w:t>
      </w:r>
      <w:r>
        <w:rPr>
          <w:b/>
          <w:color w:val="FF0000"/>
          <w:sz w:val="32"/>
          <w:szCs w:val="32"/>
        </w:rPr>
        <w:t>remains stable</w:t>
      </w:r>
      <w:r w:rsidRPr="005D36E5">
        <w:rPr>
          <w:b/>
          <w:color w:val="FF0000"/>
          <w:sz w:val="32"/>
          <w:szCs w:val="32"/>
        </w:rPr>
        <w:t xml:space="preserve"> </w:t>
      </w:r>
      <w:r w:rsidR="005D36E5" w:rsidRPr="005D36E5">
        <w:rPr>
          <w:b/>
          <w:color w:val="FF0000"/>
          <w:sz w:val="32"/>
          <w:szCs w:val="32"/>
        </w:rPr>
        <w:t xml:space="preserve">among </w:t>
      </w:r>
      <w:r w:rsidR="00AB3F7A">
        <w:rPr>
          <w:b/>
          <w:color w:val="FF0000"/>
          <w:sz w:val="32"/>
          <w:szCs w:val="32"/>
        </w:rPr>
        <w:t xml:space="preserve">regular </w:t>
      </w:r>
      <w:r w:rsidR="002A5E32">
        <w:rPr>
          <w:b/>
          <w:color w:val="FF0000"/>
          <w:sz w:val="32"/>
          <w:szCs w:val="32"/>
        </w:rPr>
        <w:t>psychostimulant</w:t>
      </w:r>
      <w:r w:rsidR="005D36E5" w:rsidRPr="005D36E5">
        <w:rPr>
          <w:b/>
          <w:color w:val="FF0000"/>
          <w:sz w:val="32"/>
          <w:szCs w:val="32"/>
        </w:rPr>
        <w:t xml:space="preserve"> </w:t>
      </w:r>
      <w:r w:rsidR="00CA49A8">
        <w:rPr>
          <w:b/>
          <w:color w:val="FF0000"/>
          <w:sz w:val="32"/>
          <w:szCs w:val="32"/>
        </w:rPr>
        <w:t>users</w:t>
      </w:r>
    </w:p>
    <w:p w:rsidR="005D6E43" w:rsidRDefault="005D6E43" w:rsidP="004173E7">
      <w:pPr>
        <w:numPr>
          <w:ilvl w:val="0"/>
          <w:numId w:val="23"/>
        </w:numPr>
        <w:rPr>
          <w:b/>
        </w:rPr>
      </w:pPr>
      <w:r>
        <w:rPr>
          <w:b/>
        </w:rPr>
        <w:t xml:space="preserve">67 per cent of people who inject drugs (PWID) used crystal methamphetamine in 2015 compared with 19 per cent of regular </w:t>
      </w:r>
      <w:r w:rsidR="002A5E32">
        <w:rPr>
          <w:b/>
        </w:rPr>
        <w:t xml:space="preserve">psychostimulant </w:t>
      </w:r>
      <w:r>
        <w:rPr>
          <w:b/>
        </w:rPr>
        <w:t>users</w:t>
      </w:r>
      <w:r w:rsidR="002A5E32">
        <w:rPr>
          <w:b/>
        </w:rPr>
        <w:t xml:space="preserve"> (RPU)</w:t>
      </w:r>
    </w:p>
    <w:p w:rsidR="005D6E43" w:rsidRDefault="005D6E43" w:rsidP="004173E7">
      <w:pPr>
        <w:numPr>
          <w:ilvl w:val="0"/>
          <w:numId w:val="23"/>
        </w:numPr>
        <w:rPr>
          <w:b/>
        </w:rPr>
      </w:pPr>
      <w:r>
        <w:rPr>
          <w:b/>
        </w:rPr>
        <w:t xml:space="preserve">Use of all types of methamphetamine remained stable among PWID but dropped by 10 per cent in </w:t>
      </w:r>
      <w:r w:rsidR="002A5E32">
        <w:rPr>
          <w:b/>
        </w:rPr>
        <w:t>RPU</w:t>
      </w:r>
    </w:p>
    <w:p w:rsidR="005D6E43" w:rsidRDefault="005D6E43" w:rsidP="004173E7">
      <w:pPr>
        <w:numPr>
          <w:ilvl w:val="0"/>
          <w:numId w:val="23"/>
        </w:numPr>
        <w:rPr>
          <w:b/>
        </w:rPr>
      </w:pPr>
      <w:r>
        <w:rPr>
          <w:b/>
        </w:rPr>
        <w:t xml:space="preserve">Frequency of heroin use increased among PWID to an average of every </w:t>
      </w:r>
      <w:r w:rsidR="002A5E32">
        <w:rPr>
          <w:b/>
        </w:rPr>
        <w:t>second</w:t>
      </w:r>
      <w:r>
        <w:rPr>
          <w:b/>
        </w:rPr>
        <w:t xml:space="preserve"> day</w:t>
      </w:r>
    </w:p>
    <w:p w:rsidR="005D6E43" w:rsidRDefault="004173E7" w:rsidP="004173E7">
      <w:pPr>
        <w:numPr>
          <w:ilvl w:val="0"/>
          <w:numId w:val="23"/>
        </w:numPr>
        <w:rPr>
          <w:b/>
        </w:rPr>
      </w:pPr>
      <w:r>
        <w:rPr>
          <w:b/>
        </w:rPr>
        <w:t>Prevalence and frequency of c</w:t>
      </w:r>
      <w:r w:rsidR="005D6E43">
        <w:rPr>
          <w:b/>
        </w:rPr>
        <w:t>annabis use inc</w:t>
      </w:r>
      <w:r>
        <w:rPr>
          <w:b/>
        </w:rPr>
        <w:t>r</w:t>
      </w:r>
      <w:r w:rsidR="005D6E43">
        <w:rPr>
          <w:b/>
        </w:rPr>
        <w:t xml:space="preserve">eased significantly among </w:t>
      </w:r>
      <w:r w:rsidR="002A5E32">
        <w:rPr>
          <w:b/>
        </w:rPr>
        <w:t>RPU</w:t>
      </w:r>
    </w:p>
    <w:p w:rsidR="00DB6AED" w:rsidRPr="00E514EB" w:rsidRDefault="00DB6AED" w:rsidP="005D36E5">
      <w:pPr>
        <w:rPr>
          <w:b/>
        </w:rPr>
      </w:pPr>
      <w:r w:rsidRPr="00E514EB">
        <w:rPr>
          <w:b/>
        </w:rPr>
        <w:t>October 1</w:t>
      </w:r>
      <w:r w:rsidR="00F40209">
        <w:rPr>
          <w:b/>
        </w:rPr>
        <w:t>4</w:t>
      </w:r>
      <w:bookmarkStart w:id="0" w:name="_GoBack"/>
      <w:bookmarkEnd w:id="0"/>
      <w:r w:rsidRPr="00E514EB">
        <w:rPr>
          <w:b/>
        </w:rPr>
        <w:t xml:space="preserve"> 2015</w:t>
      </w:r>
    </w:p>
    <w:p w:rsidR="005D36E5" w:rsidRDefault="005D36E5" w:rsidP="005D36E5">
      <w:r>
        <w:t xml:space="preserve">Crystal methamphetamine use among people who inject drugs </w:t>
      </w:r>
      <w:r w:rsidR="002A5E32">
        <w:t xml:space="preserve">(PWID) </w:t>
      </w:r>
      <w:r>
        <w:t xml:space="preserve">increased by a further six per cent in 2015, with more than two thirds of </w:t>
      </w:r>
      <w:r w:rsidR="002A5E32">
        <w:t>the</w:t>
      </w:r>
      <w:r>
        <w:t xml:space="preserve"> sample reporting regular use of the drug, the National Drug Trends Conference will hear today.  But use of </w:t>
      </w:r>
      <w:r w:rsidR="004173E7">
        <w:t xml:space="preserve">crystal </w:t>
      </w:r>
      <w:r>
        <w:t xml:space="preserve">methamphetamine, has </w:t>
      </w:r>
      <w:r w:rsidR="004173E7">
        <w:t xml:space="preserve">remained stable </w:t>
      </w:r>
      <w:r>
        <w:t xml:space="preserve">among </w:t>
      </w:r>
      <w:r w:rsidR="002A5E32">
        <w:t>regular psychostimulant users (RPU)</w:t>
      </w:r>
      <w:r>
        <w:t>, who represent a different sample of the drug using population.</w:t>
      </w:r>
    </w:p>
    <w:p w:rsidR="005D36E5" w:rsidRDefault="005D36E5" w:rsidP="005D36E5">
      <w:r>
        <w:t xml:space="preserve">The Conference organised by the National Drug and Alcohol Research Centre (NDARC) will report on the findings of its </w:t>
      </w:r>
      <w:r w:rsidR="00AB3F7A">
        <w:t xml:space="preserve">two </w:t>
      </w:r>
      <w:r>
        <w:t xml:space="preserve">annual </w:t>
      </w:r>
      <w:r w:rsidR="00AB3F7A">
        <w:t xml:space="preserve">national </w:t>
      </w:r>
      <w:r>
        <w:t>survey</w:t>
      </w:r>
      <w:r w:rsidR="00AB3F7A">
        <w:t>s</w:t>
      </w:r>
      <w:r>
        <w:t xml:space="preserve"> of nearly 2,000 people</w:t>
      </w:r>
      <w:r w:rsidR="00AB3F7A">
        <w:t>. One survey is with people</w:t>
      </w:r>
      <w:r>
        <w:t xml:space="preserve"> who inject drugs</w:t>
      </w:r>
      <w:r w:rsidR="00AB3F7A">
        <w:t xml:space="preserve"> </w:t>
      </w:r>
      <w:r w:rsidR="002A5E32">
        <w:t xml:space="preserve">regularly </w:t>
      </w:r>
      <w:r w:rsidR="00AB3F7A">
        <w:t>and the other</w:t>
      </w:r>
      <w:r w:rsidR="00DF42B1">
        <w:t xml:space="preserve"> </w:t>
      </w:r>
      <w:r w:rsidR="002A5E32">
        <w:t xml:space="preserve">is </w:t>
      </w:r>
      <w:r w:rsidR="00477989">
        <w:t>people who use psychostimulant</w:t>
      </w:r>
      <w:r w:rsidR="002A5E32">
        <w:t>s</w:t>
      </w:r>
      <w:r w:rsidR="00477989">
        <w:t xml:space="preserve"> regularly</w:t>
      </w:r>
      <w:r w:rsidR="002A5E32">
        <w:t>.</w:t>
      </w:r>
      <w:r w:rsidR="00AB3F7A">
        <w:t xml:space="preserve"> </w:t>
      </w:r>
    </w:p>
    <w:p w:rsidR="005D36E5" w:rsidRDefault="005D36E5" w:rsidP="005D36E5">
      <w:r>
        <w:t>In 2015</w:t>
      </w:r>
      <w:r w:rsidR="00477989">
        <w:t xml:space="preserve"> over two thirds (67 per cent) </w:t>
      </w:r>
      <w:r>
        <w:t xml:space="preserve">of the </w:t>
      </w:r>
      <w:r w:rsidR="00241EFA">
        <w:t>PWID</w:t>
      </w:r>
      <w:r>
        <w:t xml:space="preserve"> interviewed for the Centre’s Annual Illicit Drugs Reporting System (IDRS) reported regularly using crystal methamphetamine in the previous six months, an average of once a week, up from 61 per cent in 2014. In comparison in 2010 only 39 per cent of users reported using crystal methamphetamine. </w:t>
      </w:r>
      <w:r w:rsidR="00DF42B1">
        <w:t>PWID</w:t>
      </w:r>
      <w:r w:rsidR="00B130F0">
        <w:t xml:space="preserve"> represent a particularly high-risk population who</w:t>
      </w:r>
      <w:r w:rsidR="00472F71">
        <w:t xml:space="preserve"> are</w:t>
      </w:r>
      <w:r w:rsidR="00B130F0">
        <w:t xml:space="preserve"> often </w:t>
      </w:r>
      <w:r w:rsidR="00472F71">
        <w:t xml:space="preserve">unemployed, have spent time in prison, and have </w:t>
      </w:r>
      <w:r w:rsidR="00B130F0">
        <w:t xml:space="preserve">complex mental health and substance use </w:t>
      </w:r>
      <w:r w:rsidR="009E004F">
        <w:t>problems</w:t>
      </w:r>
      <w:r w:rsidR="00B130F0">
        <w:t xml:space="preserve"> across a range of drugs including heroin.</w:t>
      </w:r>
    </w:p>
    <w:p w:rsidR="00E370C4" w:rsidRDefault="00E370C4" w:rsidP="00E370C4">
      <w:r>
        <w:t>The proportion of PWID using crystal methamphetamine has exceeded its previous peak of 56% in 2006, the last time there was a major issue with the drug in Australia.</w:t>
      </w:r>
    </w:p>
    <w:p w:rsidR="00E370C4" w:rsidRDefault="00E370C4" w:rsidP="005D36E5">
      <w:r>
        <w:t xml:space="preserve">Users reported that the drug was easy or very easy to obtain and that purity was high. </w:t>
      </w:r>
    </w:p>
    <w:p w:rsidR="005D36E5" w:rsidRDefault="005D36E5" w:rsidP="005D36E5">
      <w:r>
        <w:t xml:space="preserve">In contrast to </w:t>
      </w:r>
      <w:r w:rsidR="00DF42B1">
        <w:t>the PWID</w:t>
      </w:r>
      <w:r>
        <w:t xml:space="preserve">, </w:t>
      </w:r>
      <w:r w:rsidR="001761D8">
        <w:t xml:space="preserve">use of any methamphetamine among the </w:t>
      </w:r>
      <w:r w:rsidR="00DF42B1">
        <w:t>Ecstasy and Related Drugs Reporting System (EDRS)</w:t>
      </w:r>
      <w:r w:rsidR="00A0291B">
        <w:t xml:space="preserve"> participants</w:t>
      </w:r>
      <w:r w:rsidR="00DF42B1" w:rsidDel="00DF42B1">
        <w:t xml:space="preserve"> </w:t>
      </w:r>
      <w:r w:rsidR="004173E7">
        <w:t xml:space="preserve">saw a </w:t>
      </w:r>
      <w:r w:rsidR="00DF42B1">
        <w:t xml:space="preserve">significant decline of just under 10 per </w:t>
      </w:r>
      <w:r w:rsidR="00DF42B1">
        <w:lastRenderedPageBreak/>
        <w:t>cent over the period, with 38 per cent reporting use of any methamphetamine compared with 47 per cent in 2014</w:t>
      </w:r>
      <w:r w:rsidR="00E370C4">
        <w:t xml:space="preserve"> </w:t>
      </w:r>
      <w:r w:rsidR="001761D8">
        <w:t xml:space="preserve">and 19 per cent </w:t>
      </w:r>
      <w:r w:rsidR="00633394">
        <w:t xml:space="preserve">reporting use of </w:t>
      </w:r>
      <w:r w:rsidR="001761D8">
        <w:t>crystal methamphetamine in the previous six months</w:t>
      </w:r>
      <w:r w:rsidR="00DF42B1">
        <w:t>, which is similar to 2014 figure (20%)</w:t>
      </w:r>
      <w:r w:rsidR="001761D8">
        <w:t xml:space="preserve">. </w:t>
      </w:r>
      <w:r w:rsidR="00633394">
        <w:t xml:space="preserve">Use </w:t>
      </w:r>
      <w:r w:rsidR="00DF42B1">
        <w:t xml:space="preserve">of speed power, the most popular form of methamphetamine in this group, </w:t>
      </w:r>
      <w:r w:rsidR="00633394">
        <w:t>declined significantly to</w:t>
      </w:r>
      <w:r w:rsidR="00DF42B1">
        <w:t xml:space="preserve"> 25 per cent of </w:t>
      </w:r>
      <w:r w:rsidR="00E514EB">
        <w:t xml:space="preserve">participants </w:t>
      </w:r>
      <w:r w:rsidR="00DF42B1">
        <w:t xml:space="preserve">compared with 36 per cent in 2014.This </w:t>
      </w:r>
      <w:r w:rsidR="00477989">
        <w:t xml:space="preserve">RPU </w:t>
      </w:r>
      <w:r w:rsidR="00DF42B1">
        <w:t>cohort has a very different profile to the PWID – they are more likely to be employed, younger, university educated and unlikely to have a prison history.</w:t>
      </w:r>
    </w:p>
    <w:p w:rsidR="005D36E5" w:rsidRDefault="005D36E5" w:rsidP="005D36E5">
      <w:r>
        <w:t>The drug monitoring programs at NDARC, which have now been in operation for 15 years provide vital information about trends in drug use in Australia, said Professor Michael Farrell</w:t>
      </w:r>
      <w:r w:rsidR="00A172BF">
        <w:t>,</w:t>
      </w:r>
      <w:r>
        <w:t xml:space="preserve"> </w:t>
      </w:r>
      <w:r w:rsidR="00A172BF">
        <w:t>D</w:t>
      </w:r>
      <w:r>
        <w:t xml:space="preserve">irector of the National Drug and Alcohol Research Centre. </w:t>
      </w:r>
    </w:p>
    <w:p w:rsidR="005D36E5" w:rsidRDefault="005D36E5" w:rsidP="005D36E5">
      <w:r>
        <w:t xml:space="preserve">“All the data we have indicates a strong upward trend in problems related to crystal </w:t>
      </w:r>
      <w:r w:rsidR="001761D8">
        <w:t>methamphetamine,</w:t>
      </w:r>
      <w:r>
        <w:t>” said Professor Michael Farrell.</w:t>
      </w:r>
    </w:p>
    <w:p w:rsidR="005D36E5" w:rsidRDefault="005D36E5" w:rsidP="005D36E5">
      <w:r>
        <w:t xml:space="preserve">“But our surveys are indicating that the </w:t>
      </w:r>
      <w:r w:rsidR="00241EFA">
        <w:t>use of</w:t>
      </w:r>
      <w:r>
        <w:t xml:space="preserve"> </w:t>
      </w:r>
      <w:r w:rsidR="007D79F3">
        <w:t xml:space="preserve">different forms of </w:t>
      </w:r>
      <w:r>
        <w:t xml:space="preserve">methamphetamine is quite different </w:t>
      </w:r>
      <w:r w:rsidR="007D79F3">
        <w:t xml:space="preserve">among </w:t>
      </w:r>
      <w:r w:rsidR="00241EFA">
        <w:t>the two populations interviewed</w:t>
      </w:r>
      <w:r>
        <w:t xml:space="preserve">. </w:t>
      </w:r>
      <w:r w:rsidR="00A172BF">
        <w:t>We</w:t>
      </w:r>
      <w:r>
        <w:t xml:space="preserve"> still need more information on other drug using populations, particularly in regional and rural areas.</w:t>
      </w:r>
    </w:p>
    <w:p w:rsidR="005D36E5" w:rsidRDefault="005D36E5" w:rsidP="005D36E5">
      <w:r>
        <w:t xml:space="preserve">“The picture emerging from the Drug Trends program regarding methamphetamine use is that problematic use appears to be prevalent among high risk groups of users. While strategies targeting prevention among the general population remain important, messages targeting high risk groups in particular, including messages about the harms related to methamphetamine use and available treatment options, </w:t>
      </w:r>
      <w:r w:rsidR="00A172BF">
        <w:t>are</w:t>
      </w:r>
      <w:r>
        <w:t xml:space="preserve"> crucial,” said Professor Farrell.    </w:t>
      </w:r>
    </w:p>
    <w:p w:rsidR="005D36E5" w:rsidRDefault="005D36E5" w:rsidP="005D36E5">
      <w:r>
        <w:t xml:space="preserve">The conference will also hear that harms related to </w:t>
      </w:r>
      <w:r w:rsidRPr="001761D8">
        <w:t>methamphetamine</w:t>
      </w:r>
      <w:r>
        <w:t xml:space="preserve"> use have increased:</w:t>
      </w:r>
    </w:p>
    <w:p w:rsidR="001D69BD" w:rsidRDefault="005D36E5" w:rsidP="001D69BD">
      <w:pPr>
        <w:numPr>
          <w:ilvl w:val="0"/>
          <w:numId w:val="26"/>
        </w:numPr>
      </w:pPr>
      <w:r>
        <w:t>The rate of hospital presentations for amphetamine related problems have</w:t>
      </w:r>
      <w:r w:rsidR="00A0291B">
        <w:t xml:space="preserve"> almost</w:t>
      </w:r>
      <w:r>
        <w:t xml:space="preserve"> doubled since 2001 from </w:t>
      </w:r>
      <w:r w:rsidR="00A0291B">
        <w:t xml:space="preserve">145 </w:t>
      </w:r>
      <w:r>
        <w:t>per million people to 272 per million people in 2013.</w:t>
      </w:r>
    </w:p>
    <w:p w:rsidR="005D36E5" w:rsidRPr="001761D8" w:rsidRDefault="005D36E5" w:rsidP="001D69BD">
      <w:pPr>
        <w:numPr>
          <w:ilvl w:val="0"/>
          <w:numId w:val="26"/>
        </w:numPr>
      </w:pPr>
      <w:r>
        <w:t xml:space="preserve">Treatment </w:t>
      </w:r>
      <w:r w:rsidRPr="001761D8">
        <w:t>for amphetamine related problems have doubled from 10,</w:t>
      </w:r>
      <w:r w:rsidR="0031609A" w:rsidRPr="001761D8">
        <w:t>0</w:t>
      </w:r>
      <w:r w:rsidR="0031609A">
        <w:t>27</w:t>
      </w:r>
      <w:r w:rsidR="0031609A" w:rsidRPr="001761D8">
        <w:t xml:space="preserve"> </w:t>
      </w:r>
      <w:r w:rsidRPr="001761D8">
        <w:t>in 2009 to 22,265 in 2013</w:t>
      </w:r>
    </w:p>
    <w:p w:rsidR="005D36E5" w:rsidRDefault="005D36E5" w:rsidP="001D69BD">
      <w:pPr>
        <w:numPr>
          <w:ilvl w:val="0"/>
          <w:numId w:val="26"/>
        </w:numPr>
      </w:pPr>
      <w:r w:rsidRPr="001761D8">
        <w:t>Methamphetamine related</w:t>
      </w:r>
      <w:r>
        <w:t xml:space="preserve"> deaths have increased from 3.4 </w:t>
      </w:r>
      <w:r w:rsidR="00A0291B">
        <w:t xml:space="preserve">per </w:t>
      </w:r>
      <w:r>
        <w:t>million persons in 20</w:t>
      </w:r>
      <w:r w:rsidR="00A0291B">
        <w:t>0</w:t>
      </w:r>
      <w:r>
        <w:t xml:space="preserve">1 to </w:t>
      </w:r>
      <w:r w:rsidR="00A0291B">
        <w:t xml:space="preserve">8.1 per </w:t>
      </w:r>
      <w:r>
        <w:t>million</w:t>
      </w:r>
      <w:r w:rsidR="00A0291B">
        <w:t xml:space="preserve"> persons</w:t>
      </w:r>
      <w:r>
        <w:t xml:space="preserve"> in </w:t>
      </w:r>
      <w:r w:rsidR="00A0291B">
        <w:t>2011</w:t>
      </w:r>
    </w:p>
    <w:p w:rsidR="005D36E5" w:rsidRPr="00E80CE5" w:rsidRDefault="005D36E5" w:rsidP="005D36E5">
      <w:pPr>
        <w:rPr>
          <w:b/>
        </w:rPr>
      </w:pPr>
      <w:r w:rsidRPr="00715AB1">
        <w:rPr>
          <w:b/>
        </w:rPr>
        <w:t xml:space="preserve">Other key findings from the 2015 EDRS and </w:t>
      </w:r>
      <w:r>
        <w:rPr>
          <w:b/>
        </w:rPr>
        <w:t>I</w:t>
      </w:r>
      <w:r w:rsidRPr="00715AB1">
        <w:rPr>
          <w:b/>
        </w:rPr>
        <w:t>DRS reports</w:t>
      </w:r>
    </w:p>
    <w:p w:rsidR="005D36E5" w:rsidRPr="009D7B8B" w:rsidRDefault="005D36E5" w:rsidP="005D36E5">
      <w:pPr>
        <w:rPr>
          <w:b/>
        </w:rPr>
      </w:pPr>
      <w:r w:rsidRPr="009D7B8B">
        <w:rPr>
          <w:b/>
        </w:rPr>
        <w:t>ILLICIT DRUGS REPORTING SYSTEM</w:t>
      </w:r>
      <w:r w:rsidR="007D79F3">
        <w:rPr>
          <w:b/>
        </w:rPr>
        <w:t xml:space="preserve"> </w:t>
      </w:r>
    </w:p>
    <w:p w:rsidR="005D36E5" w:rsidRDefault="005D36E5" w:rsidP="001D69BD">
      <w:pPr>
        <w:numPr>
          <w:ilvl w:val="0"/>
          <w:numId w:val="26"/>
        </w:numPr>
      </w:pPr>
      <w:r>
        <w:t>Total number surveyed : 888</w:t>
      </w:r>
    </w:p>
    <w:p w:rsidR="005D36E5" w:rsidRDefault="004173E7" w:rsidP="001D69BD">
      <w:pPr>
        <w:numPr>
          <w:ilvl w:val="0"/>
          <w:numId w:val="26"/>
        </w:numPr>
      </w:pPr>
      <w:r>
        <w:t>I</w:t>
      </w:r>
      <w:r w:rsidR="005D36E5">
        <w:t>njected in the previous six months</w:t>
      </w:r>
    </w:p>
    <w:p w:rsidR="005D36E5" w:rsidRDefault="005D36E5" w:rsidP="001D69BD">
      <w:pPr>
        <w:numPr>
          <w:ilvl w:val="0"/>
          <w:numId w:val="26"/>
        </w:numPr>
      </w:pPr>
      <w:r>
        <w:t>Average Age: 42</w:t>
      </w:r>
    </w:p>
    <w:p w:rsidR="005D36E5" w:rsidRDefault="005D36E5" w:rsidP="001D69BD">
      <w:pPr>
        <w:numPr>
          <w:ilvl w:val="0"/>
          <w:numId w:val="26"/>
        </w:numPr>
      </w:pPr>
      <w:r>
        <w:t>67 per cent males</w:t>
      </w:r>
    </w:p>
    <w:p w:rsidR="005D36E5" w:rsidRDefault="005D36E5" w:rsidP="001D69BD">
      <w:pPr>
        <w:numPr>
          <w:ilvl w:val="0"/>
          <w:numId w:val="26"/>
        </w:numPr>
      </w:pPr>
      <w:r>
        <w:t>83 per cent unemployed</w:t>
      </w:r>
    </w:p>
    <w:p w:rsidR="005D36E5" w:rsidRDefault="005D36E5" w:rsidP="001D69BD">
      <w:pPr>
        <w:numPr>
          <w:ilvl w:val="0"/>
          <w:numId w:val="26"/>
        </w:numPr>
      </w:pPr>
      <w:r>
        <w:lastRenderedPageBreak/>
        <w:t>58 per cent single</w:t>
      </w:r>
    </w:p>
    <w:p w:rsidR="005D36E5" w:rsidRDefault="005D36E5" w:rsidP="001D69BD">
      <w:pPr>
        <w:numPr>
          <w:ilvl w:val="0"/>
          <w:numId w:val="26"/>
        </w:numPr>
      </w:pPr>
      <w:r>
        <w:t>55 per cent prison history</w:t>
      </w:r>
    </w:p>
    <w:p w:rsidR="005D36E5" w:rsidRDefault="005D36E5" w:rsidP="001D69BD">
      <w:pPr>
        <w:numPr>
          <w:ilvl w:val="0"/>
          <w:numId w:val="26"/>
        </w:numPr>
      </w:pPr>
      <w:r>
        <w:t>Average age first injected:20</w:t>
      </w:r>
    </w:p>
    <w:p w:rsidR="005D36E5" w:rsidRDefault="00241EFA" w:rsidP="005D36E5">
      <w:pPr>
        <w:rPr>
          <w:b/>
        </w:rPr>
      </w:pPr>
      <w:r>
        <w:rPr>
          <w:b/>
        </w:rPr>
        <w:t xml:space="preserve">Any form of </w:t>
      </w:r>
      <w:r w:rsidR="004173E7">
        <w:rPr>
          <w:b/>
        </w:rPr>
        <w:t>m</w:t>
      </w:r>
      <w:r w:rsidR="004173E7" w:rsidRPr="00185D43">
        <w:rPr>
          <w:b/>
        </w:rPr>
        <w:t xml:space="preserve">ethamphetamine </w:t>
      </w:r>
      <w:r w:rsidR="005D36E5" w:rsidRPr="00185D43">
        <w:rPr>
          <w:b/>
        </w:rPr>
        <w:t xml:space="preserve">use in </w:t>
      </w:r>
      <w:r>
        <w:rPr>
          <w:b/>
        </w:rPr>
        <w:t>PWID</w:t>
      </w:r>
      <w:r w:rsidR="005D36E5" w:rsidRPr="00185D43">
        <w:rPr>
          <w:b/>
        </w:rPr>
        <w:t xml:space="preserve"> by state</w:t>
      </w:r>
    </w:p>
    <w:p w:rsidR="005D36E5" w:rsidRPr="00185D43" w:rsidRDefault="005D36E5" w:rsidP="001D69BD">
      <w:pPr>
        <w:numPr>
          <w:ilvl w:val="0"/>
          <w:numId w:val="26"/>
        </w:numPr>
      </w:pPr>
      <w:r w:rsidRPr="00185D43">
        <w:t xml:space="preserve">Use was highest at </w:t>
      </w:r>
      <w:r w:rsidR="00241EFA" w:rsidRPr="00185D43">
        <w:t>8</w:t>
      </w:r>
      <w:r w:rsidR="00241EFA">
        <w:t>1</w:t>
      </w:r>
      <w:r w:rsidRPr="00185D43">
        <w:t>per cent in ACT</w:t>
      </w:r>
    </w:p>
    <w:p w:rsidR="005D36E5" w:rsidRDefault="00DB6AED" w:rsidP="001D69BD">
      <w:pPr>
        <w:numPr>
          <w:ilvl w:val="0"/>
          <w:numId w:val="26"/>
        </w:numPr>
      </w:pPr>
      <w:r>
        <w:t>Use was lowest in NSW falling to 66 per cent fr</w:t>
      </w:r>
      <w:r w:rsidR="00E370C4">
        <w:t>o</w:t>
      </w:r>
      <w:r>
        <w:t>m 75 per cent in 2014</w:t>
      </w:r>
    </w:p>
    <w:p w:rsidR="005D36E5" w:rsidRDefault="005D36E5" w:rsidP="001D69BD">
      <w:pPr>
        <w:numPr>
          <w:ilvl w:val="0"/>
          <w:numId w:val="26"/>
        </w:numPr>
      </w:pPr>
      <w:r>
        <w:t>Northern Territory reported the biggest jump in use from 37 per cent to 67 per cent</w:t>
      </w:r>
    </w:p>
    <w:p w:rsidR="00245315" w:rsidRDefault="00245315" w:rsidP="00DB6AED">
      <w:pPr>
        <w:rPr>
          <w:b/>
        </w:rPr>
      </w:pPr>
      <w:r>
        <w:rPr>
          <w:b/>
        </w:rPr>
        <w:t>Drug related harms</w:t>
      </w:r>
      <w:r w:rsidR="007D79F3">
        <w:rPr>
          <w:b/>
        </w:rPr>
        <w:t xml:space="preserve"> among PWID who used crystal methamphetamine </w:t>
      </w:r>
    </w:p>
    <w:p w:rsidR="006B4DD3" w:rsidRPr="00E514EB" w:rsidRDefault="006B4DD3" w:rsidP="005D36E5">
      <w:r w:rsidRPr="00E514EB">
        <w:t>Compared to PWID who did not recently use crystal, more of those who used crystal reported;</w:t>
      </w:r>
    </w:p>
    <w:p w:rsidR="006B4DD3" w:rsidRPr="00E514EB" w:rsidRDefault="006B4DD3" w:rsidP="00E514EB">
      <w:pPr>
        <w:numPr>
          <w:ilvl w:val="0"/>
          <w:numId w:val="25"/>
        </w:numPr>
      </w:pPr>
      <w:r w:rsidRPr="00E514EB">
        <w:t>harmful behaviours such as sharing equipment and injection problems</w:t>
      </w:r>
    </w:p>
    <w:p w:rsidR="006B4DD3" w:rsidRPr="00E514EB" w:rsidRDefault="006B4DD3" w:rsidP="00E514EB">
      <w:pPr>
        <w:numPr>
          <w:ilvl w:val="0"/>
          <w:numId w:val="25"/>
        </w:numPr>
      </w:pPr>
      <w:r w:rsidRPr="00E514EB">
        <w:t>mental health problems and severe psychological distress</w:t>
      </w:r>
    </w:p>
    <w:p w:rsidR="006B4DD3" w:rsidRPr="00E514EB" w:rsidRDefault="006B4DD3" w:rsidP="00E514EB">
      <w:pPr>
        <w:numPr>
          <w:ilvl w:val="0"/>
          <w:numId w:val="25"/>
        </w:numPr>
      </w:pPr>
      <w:r w:rsidRPr="00E514EB">
        <w:t>criminal involvement and recent arrest</w:t>
      </w:r>
    </w:p>
    <w:p w:rsidR="005D36E5" w:rsidRPr="00E80CE5" w:rsidRDefault="005D36E5" w:rsidP="005D36E5">
      <w:pPr>
        <w:rPr>
          <w:b/>
        </w:rPr>
      </w:pPr>
      <w:r w:rsidRPr="00E80CE5">
        <w:rPr>
          <w:b/>
        </w:rPr>
        <w:t>Heroin</w:t>
      </w:r>
    </w:p>
    <w:p w:rsidR="005D36E5" w:rsidRPr="00715AB1" w:rsidRDefault="005D36E5" w:rsidP="001D69BD">
      <w:pPr>
        <w:numPr>
          <w:ilvl w:val="0"/>
          <w:numId w:val="26"/>
        </w:numPr>
      </w:pPr>
      <w:r w:rsidRPr="00715AB1">
        <w:t>Most commonly reported drug of choice among PWID.</w:t>
      </w:r>
    </w:p>
    <w:p w:rsidR="005D36E5" w:rsidRDefault="005D36E5" w:rsidP="001D69BD">
      <w:pPr>
        <w:numPr>
          <w:ilvl w:val="0"/>
          <w:numId w:val="26"/>
        </w:numPr>
      </w:pPr>
      <w:r w:rsidRPr="00715AB1">
        <w:t xml:space="preserve">The proportion using heroin </w:t>
      </w:r>
      <w:r w:rsidR="00477989">
        <w:t xml:space="preserve">was </w:t>
      </w:r>
      <w:r w:rsidRPr="00715AB1">
        <w:t>stable but there has been a significant increase in the number of days used in 2015.</w:t>
      </w:r>
      <w:r>
        <w:t xml:space="preserve"> Nationally users were using on average every </w:t>
      </w:r>
      <w:r w:rsidR="00477989">
        <w:t>second</w:t>
      </w:r>
      <w:r>
        <w:t xml:space="preserve"> day. </w:t>
      </w:r>
      <w:r w:rsidR="001761D8">
        <w:t>Days of use were</w:t>
      </w:r>
      <w:r>
        <w:t xml:space="preserve"> highest in NSW with users reporting using 120 out of 180 days.</w:t>
      </w:r>
    </w:p>
    <w:p w:rsidR="005D36E5" w:rsidRDefault="005D36E5" w:rsidP="001D69BD">
      <w:pPr>
        <w:numPr>
          <w:ilvl w:val="0"/>
          <w:numId w:val="26"/>
        </w:numPr>
      </w:pPr>
      <w:r>
        <w:t>The price per gram nationally has dropped marginally to an average of $300 a gram</w:t>
      </w:r>
    </w:p>
    <w:p w:rsidR="005D36E5" w:rsidRPr="00715AB1" w:rsidRDefault="005D36E5" w:rsidP="001D69BD">
      <w:pPr>
        <w:numPr>
          <w:ilvl w:val="0"/>
          <w:numId w:val="26"/>
        </w:numPr>
      </w:pPr>
      <w:r>
        <w:t>Cost was highest in WA at $600 per gram followed by NSW at $400 a gram. It was cheapest in Victoria at $250 a gram</w:t>
      </w:r>
    </w:p>
    <w:p w:rsidR="005D36E5" w:rsidRPr="00E80CE5" w:rsidRDefault="005D36E5" w:rsidP="005D36E5">
      <w:pPr>
        <w:rPr>
          <w:b/>
        </w:rPr>
      </w:pPr>
      <w:r w:rsidRPr="00E80CE5">
        <w:rPr>
          <w:b/>
        </w:rPr>
        <w:t>Extra medical use and injection of pharmaceuticals</w:t>
      </w:r>
    </w:p>
    <w:p w:rsidR="005D36E5" w:rsidRPr="00715AB1" w:rsidRDefault="005D36E5" w:rsidP="001D69BD">
      <w:pPr>
        <w:numPr>
          <w:ilvl w:val="0"/>
          <w:numId w:val="26"/>
        </w:numPr>
      </w:pPr>
      <w:r w:rsidRPr="00715AB1">
        <w:t>Nationally, there has been a significant decrease in the proportion reporting use of morphine and oxycodone.</w:t>
      </w:r>
    </w:p>
    <w:p w:rsidR="005D36E5" w:rsidRPr="00715AB1" w:rsidRDefault="005D36E5" w:rsidP="001D69BD">
      <w:pPr>
        <w:numPr>
          <w:ilvl w:val="0"/>
          <w:numId w:val="26"/>
        </w:numPr>
      </w:pPr>
      <w:r w:rsidRPr="00715AB1">
        <w:t xml:space="preserve">Decrease in ‘illicit’ (not prescribed) injection of morphine oxycodone </w:t>
      </w:r>
    </w:p>
    <w:p w:rsidR="005D36E5" w:rsidRPr="00715AB1" w:rsidRDefault="005D36E5" w:rsidP="001D69BD">
      <w:pPr>
        <w:numPr>
          <w:ilvl w:val="0"/>
          <w:numId w:val="26"/>
        </w:numPr>
      </w:pPr>
      <w:r w:rsidRPr="00715AB1">
        <w:t xml:space="preserve">Morphine injection - </w:t>
      </w:r>
      <w:r>
        <w:t>d</w:t>
      </w:r>
      <w:r w:rsidRPr="00715AB1">
        <w:t>ecrease in all states but ACT and QLD</w:t>
      </w:r>
    </w:p>
    <w:p w:rsidR="005D36E5" w:rsidRPr="00715AB1" w:rsidRDefault="005D36E5" w:rsidP="001D69BD">
      <w:pPr>
        <w:numPr>
          <w:ilvl w:val="0"/>
          <w:numId w:val="26"/>
        </w:numPr>
      </w:pPr>
      <w:r w:rsidRPr="00715AB1">
        <w:t xml:space="preserve">Oxycodone  injection – </w:t>
      </w:r>
      <w:r>
        <w:t>d</w:t>
      </w:r>
      <w:r w:rsidRPr="00715AB1">
        <w:t>ecrease in all states but ACT, SA and NT</w:t>
      </w:r>
    </w:p>
    <w:p w:rsidR="005D36E5" w:rsidRPr="001D69BD" w:rsidRDefault="005D36E5" w:rsidP="001D69BD">
      <w:pPr>
        <w:numPr>
          <w:ilvl w:val="0"/>
          <w:numId w:val="26"/>
        </w:numPr>
      </w:pPr>
      <w:r w:rsidRPr="00715AB1">
        <w:t>Cannabis also common among PWID although few nominate as drug of choice</w:t>
      </w:r>
    </w:p>
    <w:p w:rsidR="005D36E5" w:rsidRPr="00E80CE5" w:rsidRDefault="005D36E5" w:rsidP="005D36E5">
      <w:pPr>
        <w:rPr>
          <w:b/>
        </w:rPr>
      </w:pPr>
      <w:r w:rsidRPr="00E80CE5">
        <w:rPr>
          <w:b/>
        </w:rPr>
        <w:lastRenderedPageBreak/>
        <w:t>ECSTASY AND RELATED DRUG</w:t>
      </w:r>
      <w:r w:rsidR="007D79F3">
        <w:rPr>
          <w:b/>
        </w:rPr>
        <w:t xml:space="preserve"> </w:t>
      </w:r>
      <w:r w:rsidR="00DB6AED">
        <w:rPr>
          <w:b/>
        </w:rPr>
        <w:t>REPORTING SYSTEM (EDRS)</w:t>
      </w:r>
      <w:r w:rsidR="00DB6AED" w:rsidRPr="00E80CE5">
        <w:rPr>
          <w:b/>
        </w:rPr>
        <w:t xml:space="preserve"> </w:t>
      </w:r>
    </w:p>
    <w:p w:rsidR="005D36E5" w:rsidRPr="00715AB1" w:rsidRDefault="005D36E5" w:rsidP="001D69BD">
      <w:pPr>
        <w:numPr>
          <w:ilvl w:val="0"/>
          <w:numId w:val="26"/>
        </w:numPr>
      </w:pPr>
      <w:r>
        <w:t>Total n</w:t>
      </w:r>
      <w:r w:rsidRPr="00715AB1">
        <w:t>umber survey</w:t>
      </w:r>
      <w:r>
        <w:t>ed</w:t>
      </w:r>
      <w:r w:rsidRPr="00715AB1">
        <w:t>: 763</w:t>
      </w:r>
    </w:p>
    <w:p w:rsidR="005D36E5" w:rsidRPr="00715AB1" w:rsidRDefault="005D36E5" w:rsidP="001D69BD">
      <w:pPr>
        <w:numPr>
          <w:ilvl w:val="0"/>
          <w:numId w:val="26"/>
        </w:numPr>
      </w:pPr>
      <w:r w:rsidRPr="00715AB1">
        <w:t>62 per cent single</w:t>
      </w:r>
    </w:p>
    <w:p w:rsidR="005D36E5" w:rsidRPr="00715AB1" w:rsidRDefault="005D36E5" w:rsidP="001D69BD">
      <w:pPr>
        <w:numPr>
          <w:ilvl w:val="0"/>
          <w:numId w:val="26"/>
        </w:numPr>
      </w:pPr>
      <w:r w:rsidRPr="00715AB1">
        <w:t>12 per cent unemployed</w:t>
      </w:r>
    </w:p>
    <w:p w:rsidR="005D36E5" w:rsidRPr="00715AB1" w:rsidRDefault="005D36E5" w:rsidP="001D69BD">
      <w:pPr>
        <w:numPr>
          <w:ilvl w:val="0"/>
          <w:numId w:val="26"/>
        </w:numPr>
      </w:pPr>
      <w:r w:rsidRPr="00715AB1">
        <w:t>46 per cent tertiary educated</w:t>
      </w:r>
    </w:p>
    <w:p w:rsidR="005D36E5" w:rsidRPr="00715AB1" w:rsidRDefault="005D36E5" w:rsidP="001D69BD">
      <w:pPr>
        <w:numPr>
          <w:ilvl w:val="0"/>
          <w:numId w:val="26"/>
        </w:numPr>
      </w:pPr>
      <w:r w:rsidRPr="00715AB1">
        <w:t>Average age: 23</w:t>
      </w:r>
    </w:p>
    <w:p w:rsidR="005D36E5" w:rsidRDefault="005D36E5" w:rsidP="001D69BD">
      <w:pPr>
        <w:numPr>
          <w:ilvl w:val="0"/>
          <w:numId w:val="26"/>
        </w:numPr>
      </w:pPr>
      <w:r w:rsidRPr="00715AB1">
        <w:t xml:space="preserve">1 per </w:t>
      </w:r>
      <w:r>
        <w:t>c</w:t>
      </w:r>
      <w:r w:rsidRPr="00715AB1">
        <w:t>ent of participants had used ecstasy at least monthly in previous six months</w:t>
      </w:r>
    </w:p>
    <w:p w:rsidR="005D36E5" w:rsidRPr="009D7B8B" w:rsidRDefault="0039795F" w:rsidP="005D36E5">
      <w:pPr>
        <w:rPr>
          <w:b/>
        </w:rPr>
      </w:pPr>
      <w:r>
        <w:rPr>
          <w:b/>
        </w:rPr>
        <w:t>Polydrug use</w:t>
      </w:r>
    </w:p>
    <w:p w:rsidR="008E1E6E" w:rsidRDefault="005D36E5" w:rsidP="001D69BD">
      <w:pPr>
        <w:numPr>
          <w:ilvl w:val="0"/>
          <w:numId w:val="26"/>
        </w:numPr>
      </w:pPr>
      <w:r w:rsidRPr="00715AB1">
        <w:t xml:space="preserve">Use of cannabis increased significantly among </w:t>
      </w:r>
      <w:r w:rsidR="00477989">
        <w:t>RPU</w:t>
      </w:r>
      <w:r w:rsidRPr="00715AB1">
        <w:t xml:space="preserve"> with </w:t>
      </w:r>
      <w:r w:rsidR="00633394">
        <w:t>87</w:t>
      </w:r>
      <w:r w:rsidR="00633394" w:rsidRPr="00715AB1">
        <w:t xml:space="preserve"> </w:t>
      </w:r>
      <w:r w:rsidRPr="00715AB1">
        <w:t>per cent of the sample having used it in the past six months</w:t>
      </w:r>
      <w:r w:rsidR="007D79F3">
        <w:t xml:space="preserve"> </w:t>
      </w:r>
      <w:r w:rsidRPr="00715AB1">
        <w:t xml:space="preserve">and </w:t>
      </w:r>
      <w:r w:rsidR="00AE3923">
        <w:t>29 per cent</w:t>
      </w:r>
      <w:r w:rsidRPr="00715AB1">
        <w:t xml:space="preserve">  reporting  it as their drug of  choice</w:t>
      </w:r>
    </w:p>
    <w:p w:rsidR="005D36E5" w:rsidRDefault="008E1E6E" w:rsidP="001D69BD">
      <w:pPr>
        <w:numPr>
          <w:ilvl w:val="0"/>
          <w:numId w:val="26"/>
        </w:numPr>
      </w:pPr>
      <w:r>
        <w:t>Days of use of cannabis also increased with the sample using cannabis around twice weekly</w:t>
      </w:r>
    </w:p>
    <w:p w:rsidR="00CE5212" w:rsidRDefault="00CE5212" w:rsidP="001D69BD">
      <w:pPr>
        <w:numPr>
          <w:ilvl w:val="0"/>
          <w:numId w:val="26"/>
        </w:numPr>
      </w:pPr>
      <w:r>
        <w:t>Use of tobacco also increased significantly with 82 per cent reporting recent use compared with 77 per cent in 2014</w:t>
      </w:r>
    </w:p>
    <w:p w:rsidR="00CE5212" w:rsidRDefault="00CE5212" w:rsidP="001D69BD">
      <w:pPr>
        <w:numPr>
          <w:ilvl w:val="0"/>
          <w:numId w:val="26"/>
        </w:numPr>
      </w:pPr>
      <w:r>
        <w:t>97 per cent of the sample reported using alcohol on average drinking twice weekly with five per cent drinking daily</w:t>
      </w:r>
    </w:p>
    <w:p w:rsidR="00D334BF" w:rsidRDefault="00CE5212" w:rsidP="001D69BD">
      <w:pPr>
        <w:numPr>
          <w:ilvl w:val="0"/>
          <w:numId w:val="26"/>
        </w:numPr>
      </w:pPr>
      <w:r>
        <w:t>79 per cent of the sample were drinking at hazardous levels</w:t>
      </w:r>
    </w:p>
    <w:p w:rsidR="005D36E5" w:rsidRPr="00E80CE5" w:rsidRDefault="005D36E5" w:rsidP="005D36E5">
      <w:pPr>
        <w:rPr>
          <w:b/>
        </w:rPr>
      </w:pPr>
      <w:r w:rsidRPr="00E80CE5">
        <w:rPr>
          <w:b/>
        </w:rPr>
        <w:t>New psychoactive substances</w:t>
      </w:r>
    </w:p>
    <w:p w:rsidR="005D36E5" w:rsidRPr="00715AB1" w:rsidRDefault="005D36E5" w:rsidP="001D69BD">
      <w:pPr>
        <w:numPr>
          <w:ilvl w:val="0"/>
          <w:numId w:val="26"/>
        </w:numPr>
      </w:pPr>
      <w:r w:rsidRPr="00715AB1">
        <w:t xml:space="preserve">Use of new psychoactive substances (NPS) among </w:t>
      </w:r>
      <w:r w:rsidR="00477989">
        <w:t>RPU</w:t>
      </w:r>
      <w:r w:rsidRPr="00715AB1">
        <w:t xml:space="preserve"> has remained stable with around</w:t>
      </w:r>
      <w:r>
        <w:t xml:space="preserve"> 40</w:t>
      </w:r>
      <w:r w:rsidR="00475FCA">
        <w:t xml:space="preserve"> per cent</w:t>
      </w:r>
      <w:r>
        <w:t xml:space="preserve"> </w:t>
      </w:r>
      <w:r w:rsidRPr="00715AB1">
        <w:t xml:space="preserve">of </w:t>
      </w:r>
      <w:r>
        <w:t xml:space="preserve">the sample reporting use </w:t>
      </w:r>
      <w:r w:rsidR="00475FCA">
        <w:t>in the last six months</w:t>
      </w:r>
      <w:r>
        <w:t xml:space="preserve">. Use </w:t>
      </w:r>
      <w:r w:rsidRPr="00715AB1">
        <w:t>remained very infrequent – one or two days over the six month</w:t>
      </w:r>
      <w:r w:rsidR="00475FCA">
        <w:t xml:space="preserve"> period.</w:t>
      </w:r>
    </w:p>
    <w:p w:rsidR="005D36E5" w:rsidRPr="00715AB1" w:rsidRDefault="005D36E5" w:rsidP="001D69BD">
      <w:pPr>
        <w:numPr>
          <w:ilvl w:val="0"/>
          <w:numId w:val="26"/>
        </w:numPr>
      </w:pPr>
      <w:r w:rsidRPr="00715AB1">
        <w:t>NPS however is growing as a class globally with 450 different types of substances being identified across the globe</w:t>
      </w:r>
    </w:p>
    <w:p w:rsidR="005D36E5" w:rsidRPr="00715AB1" w:rsidRDefault="005D36E5" w:rsidP="001D69BD">
      <w:pPr>
        <w:numPr>
          <w:ilvl w:val="0"/>
          <w:numId w:val="26"/>
        </w:numPr>
      </w:pPr>
      <w:r w:rsidRPr="00715AB1">
        <w:t xml:space="preserve">The </w:t>
      </w:r>
      <w:r w:rsidR="00FE565E">
        <w:t xml:space="preserve">decline in use </w:t>
      </w:r>
      <w:r w:rsidRPr="00715AB1">
        <w:t>of synthetic cannabis</w:t>
      </w:r>
      <w:r w:rsidR="009E004F">
        <w:t xml:space="preserve"> </w:t>
      </w:r>
      <w:r w:rsidR="00FE565E">
        <w:t>first reported in 2014 has remained with use now</w:t>
      </w:r>
      <w:r w:rsidR="007D79F3">
        <w:t xml:space="preserve"> stable </w:t>
      </w:r>
      <w:r w:rsidR="00FE565E">
        <w:t xml:space="preserve">at </w:t>
      </w:r>
      <w:r w:rsidRPr="00715AB1">
        <w:t>6 per cent of the sample reporting use</w:t>
      </w:r>
      <w:r w:rsidR="00475FCA">
        <w:t>.</w:t>
      </w:r>
      <w:r w:rsidRPr="00715AB1">
        <w:t xml:space="preserve"> Certain classes of NPS have increased in use such as phen</w:t>
      </w:r>
      <w:r>
        <w:t>ethylamines</w:t>
      </w:r>
      <w:r w:rsidRPr="00715AB1">
        <w:t xml:space="preserve"> (eg NBOMe), </w:t>
      </w:r>
      <w:r w:rsidR="001761D8" w:rsidRPr="00715AB1">
        <w:t>tryptamines</w:t>
      </w:r>
      <w:r w:rsidRPr="00715AB1">
        <w:t xml:space="preserve"> (eg DMT) and plant based substances such as Salvia and Datura)</w:t>
      </w:r>
    </w:p>
    <w:p w:rsidR="005D36E5" w:rsidRPr="00715AB1" w:rsidRDefault="005D36E5" w:rsidP="001D69BD">
      <w:pPr>
        <w:numPr>
          <w:ilvl w:val="0"/>
          <w:numId w:val="26"/>
        </w:numPr>
      </w:pPr>
      <w:r w:rsidRPr="00715AB1">
        <w:t xml:space="preserve">Other classes such as synthetic cathinones (eg mephedrone) and piperazines (BZP) have decreased in use. For more information on NPS and their effects see the </w:t>
      </w:r>
      <w:hyperlink r:id="rId9" w:history="1">
        <w:r w:rsidRPr="009D7B8B">
          <w:rPr>
            <w:rStyle w:val="Hyperlink"/>
          </w:rPr>
          <w:t>NDARC fact sheet</w:t>
        </w:r>
      </w:hyperlink>
      <w:r w:rsidRPr="00715AB1">
        <w:t>.</w:t>
      </w:r>
    </w:p>
    <w:p w:rsidR="001D69BD" w:rsidRDefault="001D69BD" w:rsidP="005D36E5">
      <w:pPr>
        <w:rPr>
          <w:b/>
        </w:rPr>
      </w:pPr>
    </w:p>
    <w:p w:rsidR="00477989" w:rsidRDefault="00477989" w:rsidP="005D36E5">
      <w:pPr>
        <w:rPr>
          <w:b/>
        </w:rPr>
      </w:pPr>
    </w:p>
    <w:p w:rsidR="00477989" w:rsidRDefault="00477989" w:rsidP="005D36E5">
      <w:pPr>
        <w:rPr>
          <w:b/>
        </w:rPr>
      </w:pPr>
    </w:p>
    <w:p w:rsidR="005D36E5" w:rsidRPr="009D7B8B" w:rsidRDefault="005D36E5" w:rsidP="005D36E5">
      <w:pPr>
        <w:rPr>
          <w:b/>
        </w:rPr>
      </w:pPr>
      <w:r w:rsidRPr="009D7B8B">
        <w:rPr>
          <w:b/>
        </w:rPr>
        <w:t>Online purchase of drugs and the Dark Web</w:t>
      </w:r>
    </w:p>
    <w:p w:rsidR="005D36E5" w:rsidRPr="00715AB1" w:rsidRDefault="005D36E5" w:rsidP="001D69BD">
      <w:pPr>
        <w:numPr>
          <w:ilvl w:val="0"/>
          <w:numId w:val="26"/>
        </w:numPr>
      </w:pPr>
      <w:r w:rsidRPr="00715AB1">
        <w:t>Prevalence of people buying drugs online remains low</w:t>
      </w:r>
      <w:r>
        <w:t xml:space="preserve"> with 10 per cent having purchased a drug online in the previous 12 months and 14 per cent in their lifetime</w:t>
      </w:r>
    </w:p>
    <w:p w:rsidR="005D36E5" w:rsidRDefault="005D36E5" w:rsidP="001D69BD">
      <w:pPr>
        <w:numPr>
          <w:ilvl w:val="0"/>
          <w:numId w:val="26"/>
        </w:numPr>
      </w:pPr>
      <w:r>
        <w:t xml:space="preserve">However 69 per cent had  friends who </w:t>
      </w:r>
      <w:r w:rsidR="009E004F">
        <w:t xml:space="preserve">had </w:t>
      </w:r>
      <w:r>
        <w:t>purchased online</w:t>
      </w:r>
    </w:p>
    <w:p w:rsidR="00477989" w:rsidRDefault="005D36E5" w:rsidP="00477989">
      <w:pPr>
        <w:numPr>
          <w:ilvl w:val="0"/>
          <w:numId w:val="26"/>
        </w:numPr>
      </w:pPr>
      <w:r>
        <w:t>Ecstasy, LSD and cannabis were the most common drugs purchased online</w:t>
      </w:r>
      <w:r w:rsidR="00475FCA">
        <w:t>.</w:t>
      </w:r>
    </w:p>
    <w:p w:rsidR="00DB6AED" w:rsidRPr="00477989" w:rsidRDefault="005D36E5" w:rsidP="00477989">
      <w:pPr>
        <w:numPr>
          <w:ilvl w:val="0"/>
          <w:numId w:val="26"/>
        </w:numPr>
      </w:pPr>
      <w:r w:rsidRPr="00477989">
        <w:t xml:space="preserve">For new psychoactive substances the most </w:t>
      </w:r>
      <w:r w:rsidR="00475FCA" w:rsidRPr="00477989">
        <w:t xml:space="preserve">commonly </w:t>
      </w:r>
      <w:r w:rsidRPr="00477989">
        <w:t>purchase</w:t>
      </w:r>
      <w:r w:rsidR="00475FCA" w:rsidRPr="00477989">
        <w:t>d substances</w:t>
      </w:r>
      <w:r w:rsidRPr="00477989">
        <w:t xml:space="preserve"> were 2C-X family; DMT and NBOMe</w:t>
      </w:r>
      <w:r w:rsidR="001D69BD" w:rsidRPr="00477989">
        <w:t>.</w:t>
      </w:r>
    </w:p>
    <w:p w:rsidR="00CE5212" w:rsidRDefault="00DB6AED" w:rsidP="001D69BD">
      <w:pPr>
        <w:rPr>
          <w:b/>
        </w:rPr>
      </w:pPr>
      <w:r w:rsidRPr="00E514EB">
        <w:rPr>
          <w:b/>
        </w:rPr>
        <w:t>D</w:t>
      </w:r>
      <w:r w:rsidR="00CA49A8" w:rsidRPr="00E514EB">
        <w:rPr>
          <w:b/>
        </w:rPr>
        <w:t>rug related</w:t>
      </w:r>
      <w:r w:rsidR="00CA49A8" w:rsidRPr="00DB6AED">
        <w:rPr>
          <w:b/>
        </w:rPr>
        <w:t xml:space="preserve"> harms</w:t>
      </w:r>
    </w:p>
    <w:p w:rsidR="00CE5212" w:rsidRPr="000C285E" w:rsidRDefault="00CE5212" w:rsidP="001D69BD">
      <w:pPr>
        <w:numPr>
          <w:ilvl w:val="0"/>
          <w:numId w:val="26"/>
        </w:numPr>
      </w:pPr>
      <w:r w:rsidRPr="000C285E">
        <w:t xml:space="preserve">19 per cent of the sample reported recently overdosing on a stimulant and 29 per cent had overdosed in their lifetime. Of these ecstasy was by far the most common stimulant drug associated with </w:t>
      </w:r>
      <w:r w:rsidR="000C285E" w:rsidRPr="000C285E">
        <w:t>overdose</w:t>
      </w:r>
    </w:p>
    <w:p w:rsidR="00CE5212" w:rsidRPr="000C285E" w:rsidRDefault="00CE5212" w:rsidP="001D69BD">
      <w:pPr>
        <w:numPr>
          <w:ilvl w:val="0"/>
          <w:numId w:val="26"/>
        </w:numPr>
      </w:pPr>
      <w:r w:rsidRPr="000C285E">
        <w:t>18 per cent reported overdose on a central nervous system depressant with alcohol involved in over 80 per cent of these overdoses</w:t>
      </w:r>
    </w:p>
    <w:p w:rsidR="00CE5212" w:rsidRDefault="00CE5212" w:rsidP="0039795F">
      <w:pPr>
        <w:pStyle w:val="ListParagraph"/>
        <w:ind w:left="0"/>
        <w:rPr>
          <w:b/>
        </w:rPr>
      </w:pPr>
    </w:p>
    <w:p w:rsidR="002A5E32" w:rsidRPr="002A5E32" w:rsidRDefault="002A5E32" w:rsidP="005D36E5">
      <w:r w:rsidRPr="002A5E32">
        <w:rPr>
          <w:b/>
          <w:bCs/>
        </w:rPr>
        <w:t xml:space="preserve">IDRS findings: </w:t>
      </w:r>
      <w:r w:rsidRPr="002A5E32">
        <w:t xml:space="preserve">Stafford, J. &amp; Burns, </w:t>
      </w:r>
      <w:proofErr w:type="gramStart"/>
      <w:r w:rsidRPr="002A5E32">
        <w:t>L</w:t>
      </w:r>
      <w:proofErr w:type="gramEnd"/>
      <w:r w:rsidRPr="002A5E32">
        <w:t xml:space="preserve">. (2015) Australian Drug Trends 2015: Findings from the Illicit Drug Reporting System (IDRS). </w:t>
      </w:r>
      <w:proofErr w:type="gramStart"/>
      <w:r w:rsidRPr="002A5E32">
        <w:t>Australian Drug Trends Conference, Sydney.</w:t>
      </w:r>
      <w:proofErr w:type="gramEnd"/>
      <w:r w:rsidRPr="002A5E32">
        <w:t xml:space="preserve"> </w:t>
      </w:r>
      <w:proofErr w:type="gramStart"/>
      <w:r w:rsidRPr="002A5E32">
        <w:t>National Drug and Alcohol Research Centre, University of New South Wales.</w:t>
      </w:r>
      <w:proofErr w:type="gramEnd"/>
      <w:r w:rsidRPr="002A5E32">
        <w:t xml:space="preserve"> </w:t>
      </w:r>
    </w:p>
    <w:p w:rsidR="00FE565E" w:rsidRDefault="00FE565E" w:rsidP="005D36E5">
      <w:proofErr w:type="gramStart"/>
      <w:r w:rsidRPr="00E514EB">
        <w:rPr>
          <w:b/>
        </w:rPr>
        <w:t>Stafford J</w:t>
      </w:r>
      <w:r w:rsidR="00477989">
        <w:rPr>
          <w:b/>
        </w:rPr>
        <w:t xml:space="preserve">, Breen C </w:t>
      </w:r>
      <w:r w:rsidRPr="00E514EB">
        <w:rPr>
          <w:b/>
        </w:rPr>
        <w:t>&amp; Burns L. (2015).</w:t>
      </w:r>
      <w:proofErr w:type="gramEnd"/>
      <w:r>
        <w:t xml:space="preserve"> Key Findings from the 2015 IDRS: a survey of people who inject drugs. IDRS Drug Trends Bulletin, October 2015. Sydney: National Drug and Alcohol Research Centre, University of New South Wales</w:t>
      </w:r>
    </w:p>
    <w:p w:rsidR="00477989" w:rsidRPr="00477989" w:rsidRDefault="00477989" w:rsidP="00FE565E">
      <w:r w:rsidRPr="00477989">
        <w:rPr>
          <w:b/>
          <w:bCs/>
        </w:rPr>
        <w:t xml:space="preserve">EDRS findings: </w:t>
      </w:r>
      <w:r w:rsidRPr="00477989">
        <w:t xml:space="preserve">Sindicich, N. &amp; Burns, L. (2015) Australian Drug Trends 2015: Findings from the Ecstasy and Related Drugs Reporting System (EDRS). </w:t>
      </w:r>
      <w:proofErr w:type="gramStart"/>
      <w:r w:rsidRPr="00477989">
        <w:t>Australian Drug Trends Conference, Sydney.</w:t>
      </w:r>
      <w:proofErr w:type="gramEnd"/>
      <w:r w:rsidRPr="00477989">
        <w:t xml:space="preserve"> </w:t>
      </w:r>
      <w:proofErr w:type="gramStart"/>
      <w:r w:rsidRPr="00477989">
        <w:t>National Drug and Alcohol Research Centre, University of New South Wales.</w:t>
      </w:r>
      <w:proofErr w:type="gramEnd"/>
      <w:r w:rsidRPr="00477989">
        <w:t xml:space="preserve"> </w:t>
      </w:r>
    </w:p>
    <w:p w:rsidR="00FE565E" w:rsidRDefault="00FE565E" w:rsidP="00FE565E">
      <w:proofErr w:type="gramStart"/>
      <w:r w:rsidRPr="00E514EB">
        <w:rPr>
          <w:b/>
        </w:rPr>
        <w:t>Sindicich N</w:t>
      </w:r>
      <w:r w:rsidR="00477989">
        <w:rPr>
          <w:b/>
        </w:rPr>
        <w:t>, Breen C</w:t>
      </w:r>
      <w:r w:rsidRPr="00E514EB">
        <w:rPr>
          <w:b/>
        </w:rPr>
        <w:t xml:space="preserve"> &amp; Burns L. (2015).</w:t>
      </w:r>
      <w:r w:rsidR="00E514EB">
        <w:t>An overview of the 2015</w:t>
      </w:r>
      <w:r>
        <w:t>, October 2015</w:t>
      </w:r>
      <w:r w:rsidR="00E514EB">
        <w:t xml:space="preserve"> Findings from the Ecstasy and Related Drugs Reporting System.</w:t>
      </w:r>
      <w:proofErr w:type="gramEnd"/>
      <w:r w:rsidR="00E514EB">
        <w:t xml:space="preserve"> EDRS Drug Trends Bulletin, October 2015. </w:t>
      </w:r>
      <w:r>
        <w:t>Sydney: National Drug and Alcohol Research Centre, University of New South Wales</w:t>
      </w:r>
    </w:p>
    <w:p w:rsidR="00FE565E" w:rsidRDefault="00FE565E" w:rsidP="005D36E5"/>
    <w:p w:rsidR="001D69BD" w:rsidRDefault="001D69BD" w:rsidP="00E669FC">
      <w:pPr>
        <w:rPr>
          <w:rFonts w:cs="Arial"/>
          <w:b/>
          <w:szCs w:val="20"/>
        </w:rPr>
      </w:pPr>
    </w:p>
    <w:p w:rsidR="00E669FC" w:rsidRPr="001D69BD" w:rsidRDefault="00E669FC" w:rsidP="00E669FC">
      <w:pPr>
        <w:rPr>
          <w:rFonts w:cs="Arial"/>
          <w:szCs w:val="20"/>
        </w:rPr>
      </w:pPr>
      <w:r w:rsidRPr="001D69BD">
        <w:rPr>
          <w:rFonts w:cs="Arial"/>
          <w:b/>
          <w:szCs w:val="20"/>
        </w:rPr>
        <w:t xml:space="preserve">Media contact:  </w:t>
      </w:r>
      <w:r w:rsidRPr="001D69BD">
        <w:rPr>
          <w:rFonts w:cs="Arial"/>
          <w:szCs w:val="20"/>
        </w:rPr>
        <w:br/>
        <w:t>Marion Downey</w:t>
      </w:r>
      <w:r w:rsidRPr="001D69BD">
        <w:rPr>
          <w:rFonts w:cs="Arial"/>
          <w:szCs w:val="20"/>
        </w:rPr>
        <w:br/>
      </w:r>
      <w:r w:rsidRPr="001D69BD">
        <w:rPr>
          <w:rFonts w:cs="Arial"/>
          <w:szCs w:val="20"/>
        </w:rPr>
        <w:lastRenderedPageBreak/>
        <w:t>Communications Manager, National Drug and Alcohol Research Centre</w:t>
      </w:r>
      <w:r w:rsidRPr="001D69BD">
        <w:rPr>
          <w:rFonts w:cs="Arial"/>
          <w:szCs w:val="20"/>
        </w:rPr>
        <w:br/>
        <w:t xml:space="preserve">P: (02) 9385 0180 | 0401 713 850 | </w:t>
      </w:r>
      <w:hyperlink r:id="rId10" w:history="1">
        <w:r w:rsidRPr="001D69BD">
          <w:rPr>
            <w:rStyle w:val="Hyperlink"/>
            <w:rFonts w:cs="Arial"/>
            <w:szCs w:val="20"/>
          </w:rPr>
          <w:t>m.downey@unsw.edu.au</w:t>
        </w:r>
      </w:hyperlink>
      <w:r w:rsidRPr="001D69BD">
        <w:rPr>
          <w:rFonts w:cs="Arial"/>
          <w:szCs w:val="20"/>
        </w:rPr>
        <w:t xml:space="preserve">  </w:t>
      </w:r>
    </w:p>
    <w:sectPr w:rsidR="00E669FC" w:rsidRPr="001D69BD" w:rsidSect="00DE14FE">
      <w:headerReference w:type="default" r:id="rId11"/>
      <w:footerReference w:type="default" r:id="rId12"/>
      <w:headerReference w:type="first" r:id="rId13"/>
      <w:footerReference w:type="first" r:id="rId14"/>
      <w:pgSz w:w="11906" w:h="16838"/>
      <w:pgMar w:top="2127" w:right="1440" w:bottom="1440" w:left="1440" w:header="51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5966" w:rsidRDefault="00B75966" w:rsidP="00D53774">
      <w:pPr>
        <w:spacing w:after="0" w:line="240" w:lineRule="auto"/>
      </w:pPr>
      <w:r>
        <w:separator/>
      </w:r>
    </w:p>
  </w:endnote>
  <w:endnote w:type="continuationSeparator" w:id="0">
    <w:p w:rsidR="00B75966" w:rsidRDefault="00B75966" w:rsidP="00D53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Sommet">
    <w:panose1 w:val="02000505000000020004"/>
    <w:charset w:val="00"/>
    <w:family w:val="modern"/>
    <w:notTrueType/>
    <w:pitch w:val="variable"/>
    <w:sig w:usb0="A00000AF" w:usb1="5000005B" w:usb2="00000000" w:usb3="00000000" w:csb0="00000193"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74" w:rsidRPr="00D53774" w:rsidRDefault="00BD742D">
    <w:pPr>
      <w:pStyle w:val="Footer"/>
      <w:jc w:val="right"/>
      <w:rPr>
        <w:sz w:val="18"/>
      </w:rPr>
    </w:pPr>
    <w:r>
      <w:rPr>
        <w:noProof/>
      </w:rPr>
      <w:drawing>
        <wp:anchor distT="0" distB="0" distL="114300" distR="114300" simplePos="0" relativeHeight="251658240" behindDoc="0" locked="0" layoutInCell="1" allowOverlap="1">
          <wp:simplePos x="0" y="0"/>
          <wp:positionH relativeFrom="column">
            <wp:posOffset>4533900</wp:posOffset>
          </wp:positionH>
          <wp:positionV relativeFrom="paragraph">
            <wp:posOffset>-334645</wp:posOffset>
          </wp:positionV>
          <wp:extent cx="2486025" cy="168275"/>
          <wp:effectExtent l="0" t="0" r="9525" b="3175"/>
          <wp:wrapNone/>
          <wp:docPr id="4"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68275"/>
                  </a:xfrm>
                  <a:prstGeom prst="rect">
                    <a:avLst/>
                  </a:prstGeom>
                  <a:noFill/>
                </pic:spPr>
              </pic:pic>
            </a:graphicData>
          </a:graphic>
          <wp14:sizeRelH relativeFrom="page">
            <wp14:pctWidth>0</wp14:pctWidth>
          </wp14:sizeRelH>
          <wp14:sizeRelV relativeFrom="page">
            <wp14:pctHeight>0</wp14:pctHeight>
          </wp14:sizeRelV>
        </wp:anchor>
      </w:drawing>
    </w:r>
    <w:r w:rsidR="00D53774" w:rsidRPr="00D53774">
      <w:rPr>
        <w:sz w:val="18"/>
      </w:rPr>
      <w:fldChar w:fldCharType="begin"/>
    </w:r>
    <w:r w:rsidR="00D53774" w:rsidRPr="00D53774">
      <w:rPr>
        <w:sz w:val="18"/>
      </w:rPr>
      <w:instrText xml:space="preserve"> PAGE   \* MERGEFORMAT </w:instrText>
    </w:r>
    <w:r w:rsidR="00D53774" w:rsidRPr="00D53774">
      <w:rPr>
        <w:sz w:val="18"/>
      </w:rPr>
      <w:fldChar w:fldCharType="separate"/>
    </w:r>
    <w:r w:rsidR="00F40209">
      <w:rPr>
        <w:noProof/>
        <w:sz w:val="18"/>
      </w:rPr>
      <w:t>2</w:t>
    </w:r>
    <w:r w:rsidR="00D53774" w:rsidRPr="00D53774">
      <w:rPr>
        <w:noProof/>
        <w:sz w:val="18"/>
      </w:rPr>
      <w:fldChar w:fldCharType="end"/>
    </w:r>
  </w:p>
  <w:p w:rsidR="00D53774" w:rsidRPr="00D53774" w:rsidRDefault="00D53774">
    <w:pPr>
      <w:pStyle w:val="Footer"/>
      <w:rPr>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6412" w:rsidRPr="00736412" w:rsidRDefault="00BD742D">
    <w:pPr>
      <w:pStyle w:val="Footer"/>
      <w:jc w:val="right"/>
      <w:rPr>
        <w:noProof/>
        <w:sz w:val="18"/>
      </w:rPr>
    </w:pPr>
    <w:r>
      <w:rPr>
        <w:noProof/>
      </w:rPr>
      <w:drawing>
        <wp:anchor distT="0" distB="0" distL="114300" distR="114300" simplePos="0" relativeHeight="251659264" behindDoc="0" locked="0" layoutInCell="1" allowOverlap="1">
          <wp:simplePos x="0" y="0"/>
          <wp:positionH relativeFrom="column">
            <wp:posOffset>4507230</wp:posOffset>
          </wp:positionH>
          <wp:positionV relativeFrom="paragraph">
            <wp:posOffset>-306070</wp:posOffset>
          </wp:positionV>
          <wp:extent cx="2486025" cy="168275"/>
          <wp:effectExtent l="0" t="0" r="9525" b="3175"/>
          <wp:wrapNone/>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86025" cy="168275"/>
                  </a:xfrm>
                  <a:prstGeom prst="rect">
                    <a:avLst/>
                  </a:prstGeom>
                  <a:noFill/>
                </pic:spPr>
              </pic:pic>
            </a:graphicData>
          </a:graphic>
          <wp14:sizeRelH relativeFrom="page">
            <wp14:pctWidth>0</wp14:pctWidth>
          </wp14:sizeRelH>
          <wp14:sizeRelV relativeFrom="page">
            <wp14:pctHeight>0</wp14:pctHeight>
          </wp14:sizeRelV>
        </wp:anchor>
      </w:drawing>
    </w:r>
    <w:r w:rsidR="00736412" w:rsidRPr="00736412">
      <w:rPr>
        <w:noProof/>
        <w:sz w:val="18"/>
      </w:rPr>
      <w:fldChar w:fldCharType="begin"/>
    </w:r>
    <w:r w:rsidR="00736412" w:rsidRPr="00736412">
      <w:rPr>
        <w:noProof/>
        <w:sz w:val="18"/>
      </w:rPr>
      <w:instrText xml:space="preserve"> PAGE   \* MERGEFORMAT </w:instrText>
    </w:r>
    <w:r w:rsidR="00736412" w:rsidRPr="00736412">
      <w:rPr>
        <w:noProof/>
        <w:sz w:val="18"/>
      </w:rPr>
      <w:fldChar w:fldCharType="separate"/>
    </w:r>
    <w:r w:rsidR="00F40209">
      <w:rPr>
        <w:noProof/>
        <w:sz w:val="18"/>
      </w:rPr>
      <w:t>1</w:t>
    </w:r>
    <w:r w:rsidR="00736412" w:rsidRPr="00736412">
      <w:rPr>
        <w:noProof/>
        <w:sz w:val="18"/>
      </w:rPr>
      <w:fldChar w:fldCharType="end"/>
    </w:r>
  </w:p>
  <w:p w:rsidR="00736412" w:rsidRDefault="007364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5966" w:rsidRDefault="00B75966" w:rsidP="00D53774">
      <w:pPr>
        <w:spacing w:after="0" w:line="240" w:lineRule="auto"/>
      </w:pPr>
      <w:r>
        <w:separator/>
      </w:r>
    </w:p>
  </w:footnote>
  <w:footnote w:type="continuationSeparator" w:id="0">
    <w:p w:rsidR="00B75966" w:rsidRDefault="00B75966" w:rsidP="00D53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3774" w:rsidRDefault="00D53774" w:rsidP="00D53774">
    <w:pPr>
      <w:pStyle w:val="Header"/>
      <w:tabs>
        <w:tab w:val="clear" w:pos="4513"/>
        <w:tab w:val="clear" w:pos="9026"/>
        <w:tab w:val="left" w:pos="5685"/>
      </w:tabs>
    </w:pPr>
    <w:r>
      <w:tab/>
    </w:r>
  </w:p>
  <w:p w:rsidR="00D53774" w:rsidRDefault="00D5377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E14FE" w:rsidRPr="00E669FC" w:rsidRDefault="00BD742D" w:rsidP="00DE14FE">
    <w:pPr>
      <w:spacing w:after="0"/>
      <w:ind w:left="3600" w:firstLine="720"/>
      <w:rPr>
        <w:b/>
        <w:sz w:val="48"/>
      </w:rPr>
    </w:pPr>
    <w:r>
      <w:rPr>
        <w:noProof/>
      </w:rPr>
      <w:drawing>
        <wp:anchor distT="0" distB="0" distL="114300" distR="114300" simplePos="0" relativeHeight="251656192" behindDoc="0" locked="0" layoutInCell="1" allowOverlap="1">
          <wp:simplePos x="0" y="0"/>
          <wp:positionH relativeFrom="column">
            <wp:posOffset>-628650</wp:posOffset>
          </wp:positionH>
          <wp:positionV relativeFrom="paragraph">
            <wp:posOffset>35560</wp:posOffset>
          </wp:positionV>
          <wp:extent cx="2779395" cy="504825"/>
          <wp:effectExtent l="0" t="0" r="1905" b="9525"/>
          <wp:wrapNone/>
          <wp:docPr id="3"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9395" cy="504825"/>
                  </a:xfrm>
                  <a:prstGeom prst="rect">
                    <a:avLst/>
                  </a:prstGeom>
                  <a:noFill/>
                </pic:spPr>
              </pic:pic>
            </a:graphicData>
          </a:graphic>
          <wp14:sizeRelH relativeFrom="page">
            <wp14:pctWidth>0</wp14:pctWidth>
          </wp14:sizeRelH>
          <wp14:sizeRelV relativeFrom="page">
            <wp14:pctHeight>0</wp14:pctHeight>
          </wp14:sizeRelV>
        </wp:anchor>
      </w:drawing>
    </w:r>
    <w:r w:rsidR="00DE14FE" w:rsidRPr="00E669FC">
      <w:rPr>
        <w:b/>
        <w:sz w:val="48"/>
      </w:rPr>
      <w:t>Media Release</w:t>
    </w:r>
  </w:p>
  <w:p w:rsidR="00DE14FE" w:rsidRPr="00E669FC" w:rsidRDefault="00DE14FE" w:rsidP="00DE14FE">
    <w:pPr>
      <w:ind w:left="3600" w:firstLine="720"/>
      <w:rPr>
        <w:sz w:val="24"/>
      </w:rPr>
    </w:pPr>
    <w:r w:rsidRPr="00E669FC">
      <w:rPr>
        <w:sz w:val="24"/>
      </w:rPr>
      <w:t>National Drug and Alcohol Research Centre</w:t>
    </w:r>
  </w:p>
  <w:p w:rsidR="00736412" w:rsidRDefault="00BD742D">
    <w:pPr>
      <w:pStyle w:val="Header"/>
    </w:pPr>
    <w:r>
      <w:rPr>
        <w:noProof/>
      </w:rPr>
      <mc:AlternateContent>
        <mc:Choice Requires="wps">
          <w:drawing>
            <wp:anchor distT="0" distB="0" distL="114300" distR="114300" simplePos="0" relativeHeight="251657216" behindDoc="0" locked="0" layoutInCell="1" allowOverlap="1">
              <wp:simplePos x="0" y="0"/>
              <wp:positionH relativeFrom="column">
                <wp:posOffset>-914400</wp:posOffset>
              </wp:positionH>
              <wp:positionV relativeFrom="paragraph">
                <wp:posOffset>34925</wp:posOffset>
              </wp:positionV>
              <wp:extent cx="7558405" cy="95250"/>
              <wp:effectExtent l="0" t="0" r="4445" b="317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8405" cy="95250"/>
                      </a:xfrm>
                      <a:prstGeom prst="rect">
                        <a:avLst/>
                      </a:prstGeom>
                      <a:solidFill>
                        <a:srgbClr val="FFD700"/>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margin-left:-1in;margin-top:2.75pt;width:595.15pt;height: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" fillcolor="#ffd700" stroked="f" strokeweight="2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194E"/>
    <w:multiLevelType w:val="hybridMultilevel"/>
    <w:tmpl w:val="A7BC647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055F87"/>
    <w:multiLevelType w:val="hybridMultilevel"/>
    <w:tmpl w:val="19C60F3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0C8037CB"/>
    <w:multiLevelType w:val="hybridMultilevel"/>
    <w:tmpl w:val="4C6A07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0E993B1E"/>
    <w:multiLevelType w:val="hybridMultilevel"/>
    <w:tmpl w:val="5DD6763C"/>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7827A69"/>
    <w:multiLevelType w:val="hybridMultilevel"/>
    <w:tmpl w:val="A4DE657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1B8E45B6"/>
    <w:multiLevelType w:val="hybridMultilevel"/>
    <w:tmpl w:val="4CB2D51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20273E77"/>
    <w:multiLevelType w:val="hybridMultilevel"/>
    <w:tmpl w:val="391EA530"/>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28B13AFA"/>
    <w:multiLevelType w:val="hybridMultilevel"/>
    <w:tmpl w:val="AD9263B2"/>
    <w:lvl w:ilvl="0" w:tplc="0C09000B">
      <w:start w:val="1"/>
      <w:numFmt w:val="bullet"/>
      <w:lvlText w:val=""/>
      <w:lvlJc w:val="left"/>
      <w:pPr>
        <w:ind w:left="1440" w:hanging="360"/>
      </w:pPr>
      <w:rPr>
        <w:rFonts w:ascii="Wingdings" w:hAnsi="Wingdings" w:hint="default"/>
      </w:rPr>
    </w:lvl>
    <w:lvl w:ilvl="1" w:tplc="0C090003">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nsid w:val="351227B0"/>
    <w:multiLevelType w:val="hybridMultilevel"/>
    <w:tmpl w:val="76E4A89A"/>
    <w:lvl w:ilvl="0" w:tplc="0C090017">
      <w:start w:val="1"/>
      <w:numFmt w:val="lowerLetter"/>
      <w:lvlText w:val="%1)"/>
      <w:lvlJc w:val="left"/>
      <w:pPr>
        <w:ind w:left="2160" w:hanging="360"/>
      </w:pPr>
    </w:lvl>
    <w:lvl w:ilvl="1" w:tplc="0C090019">
      <w:start w:val="1"/>
      <w:numFmt w:val="lowerLetter"/>
      <w:lvlText w:val="%2."/>
      <w:lvlJc w:val="left"/>
      <w:pPr>
        <w:ind w:left="2880" w:hanging="360"/>
      </w:pPr>
    </w:lvl>
    <w:lvl w:ilvl="2" w:tplc="0C09001B">
      <w:start w:val="1"/>
      <w:numFmt w:val="lowerRoman"/>
      <w:lvlText w:val="%3."/>
      <w:lvlJc w:val="right"/>
      <w:pPr>
        <w:ind w:left="3600" w:hanging="180"/>
      </w:pPr>
    </w:lvl>
    <w:lvl w:ilvl="3" w:tplc="0C09000F">
      <w:start w:val="1"/>
      <w:numFmt w:val="decimal"/>
      <w:lvlText w:val="%4."/>
      <w:lvlJc w:val="left"/>
      <w:pPr>
        <w:ind w:left="4320" w:hanging="360"/>
      </w:pPr>
    </w:lvl>
    <w:lvl w:ilvl="4" w:tplc="0C090019">
      <w:start w:val="1"/>
      <w:numFmt w:val="lowerLetter"/>
      <w:lvlText w:val="%5."/>
      <w:lvlJc w:val="left"/>
      <w:pPr>
        <w:ind w:left="5040" w:hanging="360"/>
      </w:pPr>
    </w:lvl>
    <w:lvl w:ilvl="5" w:tplc="0C09001B">
      <w:start w:val="1"/>
      <w:numFmt w:val="lowerRoman"/>
      <w:lvlText w:val="%6."/>
      <w:lvlJc w:val="right"/>
      <w:pPr>
        <w:ind w:left="5760" w:hanging="180"/>
      </w:pPr>
    </w:lvl>
    <w:lvl w:ilvl="6" w:tplc="0C09000F">
      <w:start w:val="1"/>
      <w:numFmt w:val="decimal"/>
      <w:lvlText w:val="%7."/>
      <w:lvlJc w:val="left"/>
      <w:pPr>
        <w:ind w:left="6480" w:hanging="360"/>
      </w:pPr>
    </w:lvl>
    <w:lvl w:ilvl="7" w:tplc="0C090019">
      <w:start w:val="1"/>
      <w:numFmt w:val="lowerLetter"/>
      <w:lvlText w:val="%8."/>
      <w:lvlJc w:val="left"/>
      <w:pPr>
        <w:ind w:left="7200" w:hanging="360"/>
      </w:pPr>
    </w:lvl>
    <w:lvl w:ilvl="8" w:tplc="0C09001B">
      <w:start w:val="1"/>
      <w:numFmt w:val="lowerRoman"/>
      <w:lvlText w:val="%9."/>
      <w:lvlJc w:val="right"/>
      <w:pPr>
        <w:ind w:left="7920" w:hanging="180"/>
      </w:pPr>
    </w:lvl>
  </w:abstractNum>
  <w:abstractNum w:abstractNumId="9">
    <w:nsid w:val="45E1011E"/>
    <w:multiLevelType w:val="hybridMultilevel"/>
    <w:tmpl w:val="56D22FC2"/>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0">
    <w:nsid w:val="46A45158"/>
    <w:multiLevelType w:val="hybridMultilevel"/>
    <w:tmpl w:val="B8CAB6C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nsid w:val="4C797062"/>
    <w:multiLevelType w:val="hybridMultilevel"/>
    <w:tmpl w:val="5B2AED98"/>
    <w:lvl w:ilvl="0" w:tplc="0C090001">
      <w:start w:val="1"/>
      <w:numFmt w:val="bullet"/>
      <w:lvlText w:val=""/>
      <w:lvlJc w:val="left"/>
      <w:pPr>
        <w:ind w:left="1353" w:hanging="360"/>
      </w:pPr>
      <w:rPr>
        <w:rFonts w:ascii="Symbol" w:hAnsi="Symbol" w:hint="default"/>
      </w:rPr>
    </w:lvl>
    <w:lvl w:ilvl="1" w:tplc="0C090003" w:tentative="1">
      <w:start w:val="1"/>
      <w:numFmt w:val="bullet"/>
      <w:lvlText w:val="o"/>
      <w:lvlJc w:val="left"/>
      <w:pPr>
        <w:ind w:left="2073" w:hanging="360"/>
      </w:pPr>
      <w:rPr>
        <w:rFonts w:ascii="Courier New" w:hAnsi="Courier New" w:cs="Courier New" w:hint="default"/>
      </w:rPr>
    </w:lvl>
    <w:lvl w:ilvl="2" w:tplc="0C090005" w:tentative="1">
      <w:start w:val="1"/>
      <w:numFmt w:val="bullet"/>
      <w:lvlText w:val=""/>
      <w:lvlJc w:val="left"/>
      <w:pPr>
        <w:ind w:left="2793" w:hanging="360"/>
      </w:pPr>
      <w:rPr>
        <w:rFonts w:ascii="Wingdings" w:hAnsi="Wingdings" w:hint="default"/>
      </w:rPr>
    </w:lvl>
    <w:lvl w:ilvl="3" w:tplc="0C090001" w:tentative="1">
      <w:start w:val="1"/>
      <w:numFmt w:val="bullet"/>
      <w:lvlText w:val=""/>
      <w:lvlJc w:val="left"/>
      <w:pPr>
        <w:ind w:left="3513" w:hanging="360"/>
      </w:pPr>
      <w:rPr>
        <w:rFonts w:ascii="Symbol" w:hAnsi="Symbol" w:hint="default"/>
      </w:rPr>
    </w:lvl>
    <w:lvl w:ilvl="4" w:tplc="0C090003" w:tentative="1">
      <w:start w:val="1"/>
      <w:numFmt w:val="bullet"/>
      <w:lvlText w:val="o"/>
      <w:lvlJc w:val="left"/>
      <w:pPr>
        <w:ind w:left="4233" w:hanging="360"/>
      </w:pPr>
      <w:rPr>
        <w:rFonts w:ascii="Courier New" w:hAnsi="Courier New" w:cs="Courier New" w:hint="default"/>
      </w:rPr>
    </w:lvl>
    <w:lvl w:ilvl="5" w:tplc="0C090005" w:tentative="1">
      <w:start w:val="1"/>
      <w:numFmt w:val="bullet"/>
      <w:lvlText w:val=""/>
      <w:lvlJc w:val="left"/>
      <w:pPr>
        <w:ind w:left="4953" w:hanging="360"/>
      </w:pPr>
      <w:rPr>
        <w:rFonts w:ascii="Wingdings" w:hAnsi="Wingdings" w:hint="default"/>
      </w:rPr>
    </w:lvl>
    <w:lvl w:ilvl="6" w:tplc="0C090001" w:tentative="1">
      <w:start w:val="1"/>
      <w:numFmt w:val="bullet"/>
      <w:lvlText w:val=""/>
      <w:lvlJc w:val="left"/>
      <w:pPr>
        <w:ind w:left="5673" w:hanging="360"/>
      </w:pPr>
      <w:rPr>
        <w:rFonts w:ascii="Symbol" w:hAnsi="Symbol" w:hint="default"/>
      </w:rPr>
    </w:lvl>
    <w:lvl w:ilvl="7" w:tplc="0C090003" w:tentative="1">
      <w:start w:val="1"/>
      <w:numFmt w:val="bullet"/>
      <w:lvlText w:val="o"/>
      <w:lvlJc w:val="left"/>
      <w:pPr>
        <w:ind w:left="6393" w:hanging="360"/>
      </w:pPr>
      <w:rPr>
        <w:rFonts w:ascii="Courier New" w:hAnsi="Courier New" w:cs="Courier New" w:hint="default"/>
      </w:rPr>
    </w:lvl>
    <w:lvl w:ilvl="8" w:tplc="0C090005" w:tentative="1">
      <w:start w:val="1"/>
      <w:numFmt w:val="bullet"/>
      <w:lvlText w:val=""/>
      <w:lvlJc w:val="left"/>
      <w:pPr>
        <w:ind w:left="7113" w:hanging="360"/>
      </w:pPr>
      <w:rPr>
        <w:rFonts w:ascii="Wingdings" w:hAnsi="Wingdings" w:hint="default"/>
      </w:rPr>
    </w:lvl>
  </w:abstractNum>
  <w:abstractNum w:abstractNumId="12">
    <w:nsid w:val="515C0BEC"/>
    <w:multiLevelType w:val="hybridMultilevel"/>
    <w:tmpl w:val="F882605E"/>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nsid w:val="539072F4"/>
    <w:multiLevelType w:val="hybridMultilevel"/>
    <w:tmpl w:val="A93263E6"/>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nsid w:val="5409241A"/>
    <w:multiLevelType w:val="hybridMultilevel"/>
    <w:tmpl w:val="59E050D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5C3A6C9B"/>
    <w:multiLevelType w:val="hybridMultilevel"/>
    <w:tmpl w:val="929A970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6A9F1DBA"/>
    <w:multiLevelType w:val="hybridMultilevel"/>
    <w:tmpl w:val="60121E9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nsid w:val="6B795A95"/>
    <w:multiLevelType w:val="hybridMultilevel"/>
    <w:tmpl w:val="94FC204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nsid w:val="73183E7D"/>
    <w:multiLevelType w:val="hybridMultilevel"/>
    <w:tmpl w:val="097E9BD2"/>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73960CA6"/>
    <w:multiLevelType w:val="hybridMultilevel"/>
    <w:tmpl w:val="CA0A8086"/>
    <w:lvl w:ilvl="0" w:tplc="0C09000B">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nsid w:val="75AB606C"/>
    <w:multiLevelType w:val="hybridMultilevel"/>
    <w:tmpl w:val="BC245438"/>
    <w:lvl w:ilvl="0" w:tplc="0C09000B">
      <w:start w:val="1"/>
      <w:numFmt w:val="bullet"/>
      <w:lvlText w:val=""/>
      <w:lvlJc w:val="left"/>
      <w:pPr>
        <w:ind w:left="765" w:hanging="360"/>
      </w:pPr>
      <w:rPr>
        <w:rFonts w:ascii="Wingdings" w:hAnsi="Wingdings" w:hint="default"/>
      </w:rPr>
    </w:lvl>
    <w:lvl w:ilvl="1" w:tplc="0C090003" w:tentative="1">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21">
    <w:nsid w:val="78564DDB"/>
    <w:multiLevelType w:val="hybridMultilevel"/>
    <w:tmpl w:val="0A0E2C06"/>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78802A4A"/>
    <w:multiLevelType w:val="hybridMultilevel"/>
    <w:tmpl w:val="3D6A75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nsid w:val="78A6415B"/>
    <w:multiLevelType w:val="hybridMultilevel"/>
    <w:tmpl w:val="1318F5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nsid w:val="79A20A63"/>
    <w:multiLevelType w:val="hybridMultilevel"/>
    <w:tmpl w:val="3F78650A"/>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0"/>
  </w:num>
  <w:num w:numId="6">
    <w:abstractNumId w:val="16"/>
  </w:num>
  <w:num w:numId="7">
    <w:abstractNumId w:val="24"/>
  </w:num>
  <w:num w:numId="8">
    <w:abstractNumId w:val="21"/>
  </w:num>
  <w:num w:numId="9">
    <w:abstractNumId w:val="4"/>
  </w:num>
  <w:num w:numId="10">
    <w:abstractNumId w:val="10"/>
  </w:num>
  <w:num w:numId="11">
    <w:abstractNumId w:val="0"/>
  </w:num>
  <w:num w:numId="12">
    <w:abstractNumId w:val="19"/>
  </w:num>
  <w:num w:numId="13">
    <w:abstractNumId w:val="6"/>
  </w:num>
  <w:num w:numId="14">
    <w:abstractNumId w:val="18"/>
  </w:num>
  <w:num w:numId="15">
    <w:abstractNumId w:val="23"/>
  </w:num>
  <w:num w:numId="16">
    <w:abstractNumId w:val="17"/>
  </w:num>
  <w:num w:numId="17">
    <w:abstractNumId w:val="7"/>
  </w:num>
  <w:num w:numId="18">
    <w:abstractNumId w:val="5"/>
  </w:num>
  <w:num w:numId="19">
    <w:abstractNumId w:val="15"/>
  </w:num>
  <w:num w:numId="20">
    <w:abstractNumId w:val="3"/>
  </w:num>
  <w:num w:numId="21">
    <w:abstractNumId w:val="12"/>
  </w:num>
  <w:num w:numId="22">
    <w:abstractNumId w:val="11"/>
  </w:num>
  <w:num w:numId="23">
    <w:abstractNumId w:val="2"/>
  </w:num>
  <w:num w:numId="24">
    <w:abstractNumId w:val="22"/>
  </w:num>
  <w:num w:numId="25">
    <w:abstractNumId w:val="1"/>
  </w:num>
  <w:num w:numId="2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3774"/>
    <w:rsid w:val="000846DB"/>
    <w:rsid w:val="000B537E"/>
    <w:rsid w:val="000C285E"/>
    <w:rsid w:val="00116E8C"/>
    <w:rsid w:val="001761D8"/>
    <w:rsid w:val="00176FE1"/>
    <w:rsid w:val="001C3C34"/>
    <w:rsid w:val="001D69BD"/>
    <w:rsid w:val="00206481"/>
    <w:rsid w:val="00241EFA"/>
    <w:rsid w:val="00245315"/>
    <w:rsid w:val="002A5E32"/>
    <w:rsid w:val="0031609A"/>
    <w:rsid w:val="00323229"/>
    <w:rsid w:val="0035448C"/>
    <w:rsid w:val="00380D40"/>
    <w:rsid w:val="003973EE"/>
    <w:rsid w:val="0039795F"/>
    <w:rsid w:val="004173E7"/>
    <w:rsid w:val="00472F71"/>
    <w:rsid w:val="00475FCA"/>
    <w:rsid w:val="00477989"/>
    <w:rsid w:val="004F00D5"/>
    <w:rsid w:val="004F517A"/>
    <w:rsid w:val="00550D80"/>
    <w:rsid w:val="005D36E5"/>
    <w:rsid w:val="005D6E43"/>
    <w:rsid w:val="006274EA"/>
    <w:rsid w:val="00627A65"/>
    <w:rsid w:val="00633394"/>
    <w:rsid w:val="006B4DD3"/>
    <w:rsid w:val="006F3C71"/>
    <w:rsid w:val="00736412"/>
    <w:rsid w:val="00793B11"/>
    <w:rsid w:val="007D79F3"/>
    <w:rsid w:val="00871B50"/>
    <w:rsid w:val="008801D7"/>
    <w:rsid w:val="008965B6"/>
    <w:rsid w:val="008E1E6E"/>
    <w:rsid w:val="00943B8C"/>
    <w:rsid w:val="009E004F"/>
    <w:rsid w:val="009F706B"/>
    <w:rsid w:val="00A0291B"/>
    <w:rsid w:val="00A172BF"/>
    <w:rsid w:val="00A57A6A"/>
    <w:rsid w:val="00A7304B"/>
    <w:rsid w:val="00AB3F7A"/>
    <w:rsid w:val="00AE367C"/>
    <w:rsid w:val="00AE3923"/>
    <w:rsid w:val="00B130F0"/>
    <w:rsid w:val="00B75966"/>
    <w:rsid w:val="00B862E3"/>
    <w:rsid w:val="00BD742D"/>
    <w:rsid w:val="00BF1F6A"/>
    <w:rsid w:val="00C62409"/>
    <w:rsid w:val="00CA49A8"/>
    <w:rsid w:val="00CD38F9"/>
    <w:rsid w:val="00CE5212"/>
    <w:rsid w:val="00D334BF"/>
    <w:rsid w:val="00D53774"/>
    <w:rsid w:val="00D979A4"/>
    <w:rsid w:val="00DB6AED"/>
    <w:rsid w:val="00DC04C2"/>
    <w:rsid w:val="00DD723D"/>
    <w:rsid w:val="00DE12CC"/>
    <w:rsid w:val="00DE14FE"/>
    <w:rsid w:val="00DF42B1"/>
    <w:rsid w:val="00E370C4"/>
    <w:rsid w:val="00E514EB"/>
    <w:rsid w:val="00E62485"/>
    <w:rsid w:val="00E669FC"/>
    <w:rsid w:val="00E77D90"/>
    <w:rsid w:val="00F40209"/>
    <w:rsid w:val="00F92F25"/>
    <w:rsid w:val="00FE565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D53774"/>
    <w:pPr>
      <w:spacing w:after="200" w:line="276" w:lineRule="auto"/>
    </w:pPr>
    <w:rPr>
      <w:rFonts w:eastAsia="Times New Roman" w:cs="Times New Roman"/>
      <w:color w:val="575756"/>
      <w:sz w:val="22"/>
      <w:szCs w:val="22"/>
    </w:rPr>
  </w:style>
  <w:style w:type="paragraph" w:styleId="Heading1">
    <w:name w:val="heading 1"/>
    <w:basedOn w:val="Normal"/>
    <w:next w:val="Normal"/>
    <w:link w:val="Heading1Char"/>
    <w:uiPriority w:val="9"/>
    <w:qFormat/>
    <w:rsid w:val="00DE12CC"/>
    <w:pPr>
      <w:outlineLvl w:val="0"/>
    </w:pPr>
    <w:rPr>
      <w:rFonts w:ascii="Palatino Linotype" w:hAnsi="Palatino Linotype"/>
      <w:b/>
      <w:color w:val="D63C15"/>
      <w:sz w:val="32"/>
      <w:szCs w:val="32"/>
    </w:rPr>
  </w:style>
  <w:style w:type="paragraph" w:styleId="Heading2">
    <w:name w:val="heading 2"/>
    <w:basedOn w:val="Normal"/>
    <w:next w:val="Normal"/>
    <w:link w:val="Heading2Char"/>
    <w:uiPriority w:val="9"/>
    <w:unhideWhenUsed/>
    <w:qFormat/>
    <w:rsid w:val="00D53774"/>
    <w:pPr>
      <w:spacing w:before="100" w:beforeAutospacing="1" w:after="100" w:afterAutospacing="1"/>
      <w:outlineLvl w:val="1"/>
    </w:pPr>
    <w:rPr>
      <w:rFonts w:ascii="Palatino Linotype" w:hAnsi="Palatino Linotype"/>
      <w:b/>
    </w:rPr>
  </w:style>
  <w:style w:type="paragraph" w:styleId="Heading3">
    <w:name w:val="heading 3"/>
    <w:aliases w:val="Yellow band heading 1"/>
    <w:basedOn w:val="Normal"/>
    <w:next w:val="Normal"/>
    <w:link w:val="Heading3Char"/>
    <w:uiPriority w:val="9"/>
    <w:unhideWhenUsed/>
    <w:rsid w:val="00DE12CC"/>
    <w:pPr>
      <w:outlineLvl w:val="2"/>
    </w:pPr>
    <w:rPr>
      <w:rFonts w:ascii="Sommet" w:hAnsi="Sommet"/>
      <w:sz w:val="59"/>
      <w:szCs w:val="59"/>
      <w:lang w:val="en-US"/>
    </w:rPr>
  </w:style>
  <w:style w:type="paragraph" w:styleId="Heading4">
    <w:name w:val="heading 4"/>
    <w:aliases w:val="Yellow band heading 2"/>
    <w:basedOn w:val="Normal"/>
    <w:next w:val="Normal"/>
    <w:link w:val="Heading4Char"/>
    <w:uiPriority w:val="9"/>
    <w:unhideWhenUsed/>
    <w:rsid w:val="00DE12CC"/>
    <w:pPr>
      <w:outlineLvl w:val="3"/>
    </w:pPr>
    <w:rPr>
      <w:rFonts w:ascii="Sommet" w:hAnsi="Sommet"/>
      <w:sz w:val="31"/>
      <w:szCs w:val="3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12CC"/>
    <w:rPr>
      <w:rFonts w:ascii="Palatino Linotype" w:eastAsia="Times New Roman" w:hAnsi="Palatino Linotype"/>
      <w:b/>
      <w:color w:val="D63C15"/>
      <w:sz w:val="32"/>
      <w:szCs w:val="32"/>
      <w:lang w:eastAsia="en-AU"/>
    </w:rPr>
  </w:style>
  <w:style w:type="character" w:customStyle="1" w:styleId="Heading2Char">
    <w:name w:val="Heading 2 Char"/>
    <w:link w:val="Heading2"/>
    <w:uiPriority w:val="9"/>
    <w:rsid w:val="00D53774"/>
    <w:rPr>
      <w:rFonts w:ascii="Palatino Linotype" w:eastAsia="Times New Roman" w:hAnsi="Palatino Linotype" w:cs="Times New Roman"/>
      <w:b/>
      <w:color w:val="575756"/>
      <w:lang w:eastAsia="en-AU"/>
    </w:rPr>
  </w:style>
  <w:style w:type="character" w:customStyle="1" w:styleId="Heading3Char">
    <w:name w:val="Heading 3 Char"/>
    <w:aliases w:val="Yellow band heading 1 Char"/>
    <w:link w:val="Heading3"/>
    <w:uiPriority w:val="9"/>
    <w:rsid w:val="00DE12CC"/>
    <w:rPr>
      <w:rFonts w:ascii="Sommet" w:hAnsi="Sommet"/>
      <w:sz w:val="59"/>
      <w:szCs w:val="59"/>
      <w:lang w:val="en-US"/>
    </w:rPr>
  </w:style>
  <w:style w:type="character" w:customStyle="1" w:styleId="Heading4Char">
    <w:name w:val="Heading 4 Char"/>
    <w:aliases w:val="Yellow band heading 2 Char"/>
    <w:link w:val="Heading4"/>
    <w:uiPriority w:val="9"/>
    <w:rsid w:val="00DE12CC"/>
    <w:rPr>
      <w:rFonts w:ascii="Sommet" w:hAnsi="Sommet"/>
      <w:sz w:val="31"/>
      <w:szCs w:val="31"/>
      <w:lang w:val="en-US"/>
    </w:rPr>
  </w:style>
  <w:style w:type="paragraph" w:customStyle="1" w:styleId="PageNumber1">
    <w:name w:val="Page Number1"/>
    <w:basedOn w:val="Normal"/>
    <w:qFormat/>
    <w:rsid w:val="00DE12CC"/>
    <w:pPr>
      <w:tabs>
        <w:tab w:val="right" w:pos="9026"/>
      </w:tabs>
      <w:jc w:val="center"/>
    </w:pPr>
    <w:rPr>
      <w:sz w:val="18"/>
      <w:szCs w:val="18"/>
    </w:rPr>
  </w:style>
  <w:style w:type="paragraph" w:styleId="Header">
    <w:name w:val="header"/>
    <w:basedOn w:val="Normal"/>
    <w:link w:val="HeaderChar"/>
    <w:uiPriority w:val="99"/>
    <w:unhideWhenUsed/>
    <w:rsid w:val="00D53774"/>
    <w:pPr>
      <w:tabs>
        <w:tab w:val="center" w:pos="4513"/>
        <w:tab w:val="right" w:pos="9026"/>
      </w:tabs>
    </w:pPr>
  </w:style>
  <w:style w:type="character" w:customStyle="1" w:styleId="HeaderChar">
    <w:name w:val="Header Char"/>
    <w:basedOn w:val="DefaultParagraphFont"/>
    <w:link w:val="Header"/>
    <w:uiPriority w:val="99"/>
    <w:rsid w:val="00D53774"/>
  </w:style>
  <w:style w:type="paragraph" w:styleId="Footer">
    <w:name w:val="footer"/>
    <w:basedOn w:val="Normal"/>
    <w:link w:val="FooterChar"/>
    <w:uiPriority w:val="99"/>
    <w:unhideWhenUsed/>
    <w:rsid w:val="00D53774"/>
    <w:pPr>
      <w:tabs>
        <w:tab w:val="center" w:pos="4513"/>
        <w:tab w:val="right" w:pos="9026"/>
      </w:tabs>
    </w:pPr>
  </w:style>
  <w:style w:type="character" w:customStyle="1" w:styleId="FooterChar">
    <w:name w:val="Footer Char"/>
    <w:basedOn w:val="DefaultParagraphFont"/>
    <w:link w:val="Footer"/>
    <w:uiPriority w:val="99"/>
    <w:rsid w:val="00D53774"/>
  </w:style>
  <w:style w:type="paragraph" w:styleId="BalloonText">
    <w:name w:val="Balloon Text"/>
    <w:basedOn w:val="Normal"/>
    <w:link w:val="BalloonTextChar"/>
    <w:uiPriority w:val="99"/>
    <w:semiHidden/>
    <w:unhideWhenUsed/>
    <w:rsid w:val="00D53774"/>
    <w:rPr>
      <w:rFonts w:ascii="Tahoma" w:hAnsi="Tahoma" w:cs="Tahoma"/>
      <w:sz w:val="16"/>
      <w:szCs w:val="16"/>
    </w:rPr>
  </w:style>
  <w:style w:type="character" w:customStyle="1" w:styleId="BalloonTextChar">
    <w:name w:val="Balloon Text Char"/>
    <w:link w:val="BalloonText"/>
    <w:uiPriority w:val="99"/>
    <w:semiHidden/>
    <w:rsid w:val="00D53774"/>
    <w:rPr>
      <w:rFonts w:ascii="Tahoma" w:hAnsi="Tahoma" w:cs="Tahoma"/>
      <w:sz w:val="16"/>
      <w:szCs w:val="16"/>
    </w:rPr>
  </w:style>
  <w:style w:type="character" w:styleId="SubtleEmphasis">
    <w:name w:val="Subtle Emphasis"/>
    <w:uiPriority w:val="19"/>
    <w:rsid w:val="00D53774"/>
    <w:rPr>
      <w:i/>
      <w:iCs/>
      <w:color w:val="595959"/>
    </w:rPr>
  </w:style>
  <w:style w:type="paragraph" w:styleId="ListParagraph">
    <w:name w:val="List Paragraph"/>
    <w:basedOn w:val="Normal"/>
    <w:uiPriority w:val="34"/>
    <w:qFormat/>
    <w:rsid w:val="00AE367C"/>
    <w:pPr>
      <w:ind w:left="720"/>
      <w:contextualSpacing/>
    </w:pPr>
    <w:rPr>
      <w:rFonts w:eastAsia="Arial"/>
      <w:color w:val="auto"/>
      <w:lang w:eastAsia="en-US"/>
    </w:rPr>
  </w:style>
  <w:style w:type="character" w:styleId="Hyperlink">
    <w:name w:val="Hyperlink"/>
    <w:uiPriority w:val="99"/>
    <w:unhideWhenUsed/>
    <w:rsid w:val="00AE367C"/>
    <w:rPr>
      <w:color w:val="0000FF"/>
      <w:u w:val="single"/>
    </w:rPr>
  </w:style>
  <w:style w:type="character" w:styleId="CommentReference">
    <w:name w:val="annotation reference"/>
    <w:uiPriority w:val="99"/>
    <w:semiHidden/>
    <w:unhideWhenUsed/>
    <w:rsid w:val="00A172BF"/>
    <w:rPr>
      <w:sz w:val="16"/>
      <w:szCs w:val="16"/>
    </w:rPr>
  </w:style>
  <w:style w:type="paragraph" w:styleId="CommentText">
    <w:name w:val="annotation text"/>
    <w:basedOn w:val="Normal"/>
    <w:link w:val="CommentTextChar"/>
    <w:uiPriority w:val="99"/>
    <w:semiHidden/>
    <w:unhideWhenUsed/>
    <w:rsid w:val="00A172BF"/>
    <w:rPr>
      <w:sz w:val="20"/>
      <w:szCs w:val="20"/>
    </w:rPr>
  </w:style>
  <w:style w:type="character" w:customStyle="1" w:styleId="CommentTextChar">
    <w:name w:val="Comment Text Char"/>
    <w:link w:val="CommentText"/>
    <w:uiPriority w:val="99"/>
    <w:semiHidden/>
    <w:rsid w:val="00A172BF"/>
    <w:rPr>
      <w:rFonts w:eastAsia="Times New Roman" w:cs="Times New Roman"/>
      <w:color w:val="575756"/>
    </w:rPr>
  </w:style>
  <w:style w:type="paragraph" w:styleId="CommentSubject">
    <w:name w:val="annotation subject"/>
    <w:basedOn w:val="CommentText"/>
    <w:next w:val="CommentText"/>
    <w:link w:val="CommentSubjectChar"/>
    <w:uiPriority w:val="99"/>
    <w:semiHidden/>
    <w:unhideWhenUsed/>
    <w:rsid w:val="00A172BF"/>
    <w:rPr>
      <w:b/>
      <w:bCs/>
    </w:rPr>
  </w:style>
  <w:style w:type="character" w:customStyle="1" w:styleId="CommentSubjectChar">
    <w:name w:val="Comment Subject Char"/>
    <w:link w:val="CommentSubject"/>
    <w:uiPriority w:val="99"/>
    <w:semiHidden/>
    <w:rsid w:val="00A172BF"/>
    <w:rPr>
      <w:rFonts w:eastAsia="Times New Roman" w:cs="Times New Roman"/>
      <w:b/>
      <w:bCs/>
      <w:color w:val="57575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Body text"/>
    <w:qFormat/>
    <w:rsid w:val="00D53774"/>
    <w:pPr>
      <w:spacing w:after="200" w:line="276" w:lineRule="auto"/>
    </w:pPr>
    <w:rPr>
      <w:rFonts w:eastAsia="Times New Roman" w:cs="Times New Roman"/>
      <w:color w:val="575756"/>
      <w:sz w:val="22"/>
      <w:szCs w:val="22"/>
    </w:rPr>
  </w:style>
  <w:style w:type="paragraph" w:styleId="Heading1">
    <w:name w:val="heading 1"/>
    <w:basedOn w:val="Normal"/>
    <w:next w:val="Normal"/>
    <w:link w:val="Heading1Char"/>
    <w:uiPriority w:val="9"/>
    <w:qFormat/>
    <w:rsid w:val="00DE12CC"/>
    <w:pPr>
      <w:outlineLvl w:val="0"/>
    </w:pPr>
    <w:rPr>
      <w:rFonts w:ascii="Palatino Linotype" w:hAnsi="Palatino Linotype"/>
      <w:b/>
      <w:color w:val="D63C15"/>
      <w:sz w:val="32"/>
      <w:szCs w:val="32"/>
    </w:rPr>
  </w:style>
  <w:style w:type="paragraph" w:styleId="Heading2">
    <w:name w:val="heading 2"/>
    <w:basedOn w:val="Normal"/>
    <w:next w:val="Normal"/>
    <w:link w:val="Heading2Char"/>
    <w:uiPriority w:val="9"/>
    <w:unhideWhenUsed/>
    <w:qFormat/>
    <w:rsid w:val="00D53774"/>
    <w:pPr>
      <w:spacing w:before="100" w:beforeAutospacing="1" w:after="100" w:afterAutospacing="1"/>
      <w:outlineLvl w:val="1"/>
    </w:pPr>
    <w:rPr>
      <w:rFonts w:ascii="Palatino Linotype" w:hAnsi="Palatino Linotype"/>
      <w:b/>
    </w:rPr>
  </w:style>
  <w:style w:type="paragraph" w:styleId="Heading3">
    <w:name w:val="heading 3"/>
    <w:aliases w:val="Yellow band heading 1"/>
    <w:basedOn w:val="Normal"/>
    <w:next w:val="Normal"/>
    <w:link w:val="Heading3Char"/>
    <w:uiPriority w:val="9"/>
    <w:unhideWhenUsed/>
    <w:rsid w:val="00DE12CC"/>
    <w:pPr>
      <w:outlineLvl w:val="2"/>
    </w:pPr>
    <w:rPr>
      <w:rFonts w:ascii="Sommet" w:hAnsi="Sommet"/>
      <w:sz w:val="59"/>
      <w:szCs w:val="59"/>
      <w:lang w:val="en-US"/>
    </w:rPr>
  </w:style>
  <w:style w:type="paragraph" w:styleId="Heading4">
    <w:name w:val="heading 4"/>
    <w:aliases w:val="Yellow band heading 2"/>
    <w:basedOn w:val="Normal"/>
    <w:next w:val="Normal"/>
    <w:link w:val="Heading4Char"/>
    <w:uiPriority w:val="9"/>
    <w:unhideWhenUsed/>
    <w:rsid w:val="00DE12CC"/>
    <w:pPr>
      <w:outlineLvl w:val="3"/>
    </w:pPr>
    <w:rPr>
      <w:rFonts w:ascii="Sommet" w:hAnsi="Sommet"/>
      <w:sz w:val="31"/>
      <w:szCs w:val="3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DE12CC"/>
    <w:rPr>
      <w:rFonts w:ascii="Palatino Linotype" w:eastAsia="Times New Roman" w:hAnsi="Palatino Linotype"/>
      <w:b/>
      <w:color w:val="D63C15"/>
      <w:sz w:val="32"/>
      <w:szCs w:val="32"/>
      <w:lang w:eastAsia="en-AU"/>
    </w:rPr>
  </w:style>
  <w:style w:type="character" w:customStyle="1" w:styleId="Heading2Char">
    <w:name w:val="Heading 2 Char"/>
    <w:link w:val="Heading2"/>
    <w:uiPriority w:val="9"/>
    <w:rsid w:val="00D53774"/>
    <w:rPr>
      <w:rFonts w:ascii="Palatino Linotype" w:eastAsia="Times New Roman" w:hAnsi="Palatino Linotype" w:cs="Times New Roman"/>
      <w:b/>
      <w:color w:val="575756"/>
      <w:lang w:eastAsia="en-AU"/>
    </w:rPr>
  </w:style>
  <w:style w:type="character" w:customStyle="1" w:styleId="Heading3Char">
    <w:name w:val="Heading 3 Char"/>
    <w:aliases w:val="Yellow band heading 1 Char"/>
    <w:link w:val="Heading3"/>
    <w:uiPriority w:val="9"/>
    <w:rsid w:val="00DE12CC"/>
    <w:rPr>
      <w:rFonts w:ascii="Sommet" w:hAnsi="Sommet"/>
      <w:sz w:val="59"/>
      <w:szCs w:val="59"/>
      <w:lang w:val="en-US"/>
    </w:rPr>
  </w:style>
  <w:style w:type="character" w:customStyle="1" w:styleId="Heading4Char">
    <w:name w:val="Heading 4 Char"/>
    <w:aliases w:val="Yellow band heading 2 Char"/>
    <w:link w:val="Heading4"/>
    <w:uiPriority w:val="9"/>
    <w:rsid w:val="00DE12CC"/>
    <w:rPr>
      <w:rFonts w:ascii="Sommet" w:hAnsi="Sommet"/>
      <w:sz w:val="31"/>
      <w:szCs w:val="31"/>
      <w:lang w:val="en-US"/>
    </w:rPr>
  </w:style>
  <w:style w:type="paragraph" w:customStyle="1" w:styleId="PageNumber1">
    <w:name w:val="Page Number1"/>
    <w:basedOn w:val="Normal"/>
    <w:qFormat/>
    <w:rsid w:val="00DE12CC"/>
    <w:pPr>
      <w:tabs>
        <w:tab w:val="right" w:pos="9026"/>
      </w:tabs>
      <w:jc w:val="center"/>
    </w:pPr>
    <w:rPr>
      <w:sz w:val="18"/>
      <w:szCs w:val="18"/>
    </w:rPr>
  </w:style>
  <w:style w:type="paragraph" w:styleId="Header">
    <w:name w:val="header"/>
    <w:basedOn w:val="Normal"/>
    <w:link w:val="HeaderChar"/>
    <w:uiPriority w:val="99"/>
    <w:unhideWhenUsed/>
    <w:rsid w:val="00D53774"/>
    <w:pPr>
      <w:tabs>
        <w:tab w:val="center" w:pos="4513"/>
        <w:tab w:val="right" w:pos="9026"/>
      </w:tabs>
    </w:pPr>
  </w:style>
  <w:style w:type="character" w:customStyle="1" w:styleId="HeaderChar">
    <w:name w:val="Header Char"/>
    <w:basedOn w:val="DefaultParagraphFont"/>
    <w:link w:val="Header"/>
    <w:uiPriority w:val="99"/>
    <w:rsid w:val="00D53774"/>
  </w:style>
  <w:style w:type="paragraph" w:styleId="Footer">
    <w:name w:val="footer"/>
    <w:basedOn w:val="Normal"/>
    <w:link w:val="FooterChar"/>
    <w:uiPriority w:val="99"/>
    <w:unhideWhenUsed/>
    <w:rsid w:val="00D53774"/>
    <w:pPr>
      <w:tabs>
        <w:tab w:val="center" w:pos="4513"/>
        <w:tab w:val="right" w:pos="9026"/>
      </w:tabs>
    </w:pPr>
  </w:style>
  <w:style w:type="character" w:customStyle="1" w:styleId="FooterChar">
    <w:name w:val="Footer Char"/>
    <w:basedOn w:val="DefaultParagraphFont"/>
    <w:link w:val="Footer"/>
    <w:uiPriority w:val="99"/>
    <w:rsid w:val="00D53774"/>
  </w:style>
  <w:style w:type="paragraph" w:styleId="BalloonText">
    <w:name w:val="Balloon Text"/>
    <w:basedOn w:val="Normal"/>
    <w:link w:val="BalloonTextChar"/>
    <w:uiPriority w:val="99"/>
    <w:semiHidden/>
    <w:unhideWhenUsed/>
    <w:rsid w:val="00D53774"/>
    <w:rPr>
      <w:rFonts w:ascii="Tahoma" w:hAnsi="Tahoma" w:cs="Tahoma"/>
      <w:sz w:val="16"/>
      <w:szCs w:val="16"/>
    </w:rPr>
  </w:style>
  <w:style w:type="character" w:customStyle="1" w:styleId="BalloonTextChar">
    <w:name w:val="Balloon Text Char"/>
    <w:link w:val="BalloonText"/>
    <w:uiPriority w:val="99"/>
    <w:semiHidden/>
    <w:rsid w:val="00D53774"/>
    <w:rPr>
      <w:rFonts w:ascii="Tahoma" w:hAnsi="Tahoma" w:cs="Tahoma"/>
      <w:sz w:val="16"/>
      <w:szCs w:val="16"/>
    </w:rPr>
  </w:style>
  <w:style w:type="character" w:styleId="SubtleEmphasis">
    <w:name w:val="Subtle Emphasis"/>
    <w:uiPriority w:val="19"/>
    <w:rsid w:val="00D53774"/>
    <w:rPr>
      <w:i/>
      <w:iCs/>
      <w:color w:val="595959"/>
    </w:rPr>
  </w:style>
  <w:style w:type="paragraph" w:styleId="ListParagraph">
    <w:name w:val="List Paragraph"/>
    <w:basedOn w:val="Normal"/>
    <w:uiPriority w:val="34"/>
    <w:qFormat/>
    <w:rsid w:val="00AE367C"/>
    <w:pPr>
      <w:ind w:left="720"/>
      <w:contextualSpacing/>
    </w:pPr>
    <w:rPr>
      <w:rFonts w:eastAsia="Arial"/>
      <w:color w:val="auto"/>
      <w:lang w:eastAsia="en-US"/>
    </w:rPr>
  </w:style>
  <w:style w:type="character" w:styleId="Hyperlink">
    <w:name w:val="Hyperlink"/>
    <w:uiPriority w:val="99"/>
    <w:unhideWhenUsed/>
    <w:rsid w:val="00AE367C"/>
    <w:rPr>
      <w:color w:val="0000FF"/>
      <w:u w:val="single"/>
    </w:rPr>
  </w:style>
  <w:style w:type="character" w:styleId="CommentReference">
    <w:name w:val="annotation reference"/>
    <w:uiPriority w:val="99"/>
    <w:semiHidden/>
    <w:unhideWhenUsed/>
    <w:rsid w:val="00A172BF"/>
    <w:rPr>
      <w:sz w:val="16"/>
      <w:szCs w:val="16"/>
    </w:rPr>
  </w:style>
  <w:style w:type="paragraph" w:styleId="CommentText">
    <w:name w:val="annotation text"/>
    <w:basedOn w:val="Normal"/>
    <w:link w:val="CommentTextChar"/>
    <w:uiPriority w:val="99"/>
    <w:semiHidden/>
    <w:unhideWhenUsed/>
    <w:rsid w:val="00A172BF"/>
    <w:rPr>
      <w:sz w:val="20"/>
      <w:szCs w:val="20"/>
    </w:rPr>
  </w:style>
  <w:style w:type="character" w:customStyle="1" w:styleId="CommentTextChar">
    <w:name w:val="Comment Text Char"/>
    <w:link w:val="CommentText"/>
    <w:uiPriority w:val="99"/>
    <w:semiHidden/>
    <w:rsid w:val="00A172BF"/>
    <w:rPr>
      <w:rFonts w:eastAsia="Times New Roman" w:cs="Times New Roman"/>
      <w:color w:val="575756"/>
    </w:rPr>
  </w:style>
  <w:style w:type="paragraph" w:styleId="CommentSubject">
    <w:name w:val="annotation subject"/>
    <w:basedOn w:val="CommentText"/>
    <w:next w:val="CommentText"/>
    <w:link w:val="CommentSubjectChar"/>
    <w:uiPriority w:val="99"/>
    <w:semiHidden/>
    <w:unhideWhenUsed/>
    <w:rsid w:val="00A172BF"/>
    <w:rPr>
      <w:b/>
      <w:bCs/>
    </w:rPr>
  </w:style>
  <w:style w:type="character" w:customStyle="1" w:styleId="CommentSubjectChar">
    <w:name w:val="Comment Subject Char"/>
    <w:link w:val="CommentSubject"/>
    <w:uiPriority w:val="99"/>
    <w:semiHidden/>
    <w:rsid w:val="00A172BF"/>
    <w:rPr>
      <w:rFonts w:eastAsia="Times New Roman" w:cs="Times New Roman"/>
      <w:b/>
      <w:bCs/>
      <w:color w:val="5757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48839">
      <w:bodyDiv w:val="1"/>
      <w:marLeft w:val="0"/>
      <w:marRight w:val="0"/>
      <w:marTop w:val="0"/>
      <w:marBottom w:val="0"/>
      <w:divBdr>
        <w:top w:val="none" w:sz="0" w:space="0" w:color="auto"/>
        <w:left w:val="none" w:sz="0" w:space="0" w:color="auto"/>
        <w:bottom w:val="none" w:sz="0" w:space="0" w:color="auto"/>
        <w:right w:val="none" w:sz="0" w:space="0" w:color="auto"/>
      </w:divBdr>
    </w:div>
    <w:div w:id="595098034">
      <w:bodyDiv w:val="1"/>
      <w:marLeft w:val="0"/>
      <w:marRight w:val="0"/>
      <w:marTop w:val="0"/>
      <w:marBottom w:val="0"/>
      <w:divBdr>
        <w:top w:val="none" w:sz="0" w:space="0" w:color="auto"/>
        <w:left w:val="none" w:sz="0" w:space="0" w:color="auto"/>
        <w:bottom w:val="none" w:sz="0" w:space="0" w:color="auto"/>
        <w:right w:val="none" w:sz="0" w:space="0" w:color="auto"/>
      </w:divBdr>
    </w:div>
    <w:div w:id="1039430651">
      <w:bodyDiv w:val="1"/>
      <w:marLeft w:val="0"/>
      <w:marRight w:val="0"/>
      <w:marTop w:val="0"/>
      <w:marBottom w:val="0"/>
      <w:divBdr>
        <w:top w:val="none" w:sz="0" w:space="0" w:color="auto"/>
        <w:left w:val="none" w:sz="0" w:space="0" w:color="auto"/>
        <w:bottom w:val="none" w:sz="0" w:space="0" w:color="auto"/>
        <w:right w:val="none" w:sz="0" w:space="0" w:color="auto"/>
      </w:divBdr>
    </w:div>
    <w:div w:id="1164584809">
      <w:bodyDiv w:val="1"/>
      <w:marLeft w:val="0"/>
      <w:marRight w:val="0"/>
      <w:marTop w:val="0"/>
      <w:marBottom w:val="0"/>
      <w:divBdr>
        <w:top w:val="none" w:sz="0" w:space="0" w:color="auto"/>
        <w:left w:val="none" w:sz="0" w:space="0" w:color="auto"/>
        <w:bottom w:val="none" w:sz="0" w:space="0" w:color="auto"/>
        <w:right w:val="none" w:sz="0" w:space="0" w:color="auto"/>
      </w:divBdr>
    </w:div>
    <w:div w:id="1487935892">
      <w:bodyDiv w:val="1"/>
      <w:marLeft w:val="0"/>
      <w:marRight w:val="0"/>
      <w:marTop w:val="0"/>
      <w:marBottom w:val="0"/>
      <w:divBdr>
        <w:top w:val="none" w:sz="0" w:space="0" w:color="auto"/>
        <w:left w:val="none" w:sz="0" w:space="0" w:color="auto"/>
        <w:bottom w:val="none" w:sz="0" w:space="0" w:color="auto"/>
        <w:right w:val="none" w:sz="0" w:space="0" w:color="auto"/>
      </w:divBdr>
    </w:div>
    <w:div w:id="1839274856">
      <w:bodyDiv w:val="1"/>
      <w:marLeft w:val="0"/>
      <w:marRight w:val="0"/>
      <w:marTop w:val="0"/>
      <w:marBottom w:val="0"/>
      <w:divBdr>
        <w:top w:val="none" w:sz="0" w:space="0" w:color="auto"/>
        <w:left w:val="none" w:sz="0" w:space="0" w:color="auto"/>
        <w:bottom w:val="none" w:sz="0" w:space="0" w:color="auto"/>
        <w:right w:val="none" w:sz="0" w:space="0" w:color="auto"/>
      </w:divBdr>
    </w:div>
    <w:div w:id="190286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m.downey@unsw.edu.au" TargetMode="External"/><Relationship Id="rId4" Type="http://schemas.microsoft.com/office/2007/relationships/stylesWithEffects" Target="stylesWithEffects.xml"/><Relationship Id="rId9" Type="http://schemas.openxmlformats.org/officeDocument/2006/relationships/hyperlink" Target="https://ndarc.med.unsw.edu.au/resource/emerging-psychoactive-substances"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00916F-FD7B-421E-A305-7999F5C5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9876</CharactersWithSpaces>
  <SharedDoc>false</SharedDoc>
  <HLinks>
    <vt:vector size="12" baseType="variant">
      <vt:variant>
        <vt:i4>5308542</vt:i4>
      </vt:variant>
      <vt:variant>
        <vt:i4>3</vt:i4>
      </vt:variant>
      <vt:variant>
        <vt:i4>0</vt:i4>
      </vt:variant>
      <vt:variant>
        <vt:i4>5</vt:i4>
      </vt:variant>
      <vt:variant>
        <vt:lpwstr>mailto:m.downey@unsw.edu.au</vt:lpwstr>
      </vt:variant>
      <vt:variant>
        <vt:lpwstr/>
      </vt:variant>
      <vt:variant>
        <vt:i4>6422576</vt:i4>
      </vt:variant>
      <vt:variant>
        <vt:i4>0</vt:i4>
      </vt:variant>
      <vt:variant>
        <vt:i4>0</vt:i4>
      </vt:variant>
      <vt:variant>
        <vt:i4>5</vt:i4>
      </vt:variant>
      <vt:variant>
        <vt:lpwstr>https://ndarc.med.unsw.edu.au/resource/emerging-psychoactive-substances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Alexandra Pitzing</dc:creator>
  <cp:lastModifiedBy>Marion Downey</cp:lastModifiedBy>
  <cp:revision>2</cp:revision>
  <dcterms:created xsi:type="dcterms:W3CDTF">2015-10-08T03:20:00Z</dcterms:created>
  <dcterms:modified xsi:type="dcterms:W3CDTF">2015-10-08T03:20:00Z</dcterms:modified>
</cp:coreProperties>
</file>